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500"/>
        <w:gridCol w:w="3580"/>
      </w:tblGrid>
      <w:tr>
        <w:tc>
          <w:tcPr>
            <w:tcW w:type="dxa" w:w="6500"/>
            <w:tcBorders>
              <w:top w:val="none"/>
              <w:left w:val="none"/>
              <w:bottom w:val="none"/>
              <w:right w:val="none"/>
            </w:tcBorders>
            <w:shd w:fill="0B4F4A" w:val="clear"/>
          </w:tcPr>
          <w:p>
            <w:pPr>
              <w:spacing w:after="20"/>
            </w:pPr>
            <w:r>
              <w:rPr>
                <w:rFonts w:ascii="Calibri" w:cs="Calibri" w:eastAsia="Calibri" w:hAnsi="Calibri"/>
                <w:b/>
                <w:bCs/>
                <w:color w:val="99DDAA"/>
                <w:sz w:val="20"/>
                <w:szCs w:val="20"/>
              </w:rPr>
              <w:t xml:space="preserve">ACSA COUNTRY SELF-ASSESSMENT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3"/>
                <w:szCs w:val="23"/>
              </w:rPr>
              <w:t xml:space="preserve">Non-Functional Requirements Assessment Worksheet</w:t>
            </w:r>
          </w:p>
        </w:tc>
        <w:tc>
          <w:tcPr>
            <w:tcW w:type="dxa" w:w="3580"/>
            <w:tcBorders>
              <w:top w:val="none"/>
              <w:left w:val="none"/>
              <w:bottom w:val="none"/>
              <w:right w:val="none"/>
            </w:tcBorders>
            <w:shd w:fill="073330" w:val="clear"/>
          </w:tcPr>
          <w:p>
            <w:pPr>
              <w:spacing w:after="20"/>
            </w:pPr>
            <w:r>
              <w:rPr>
                <w:rFonts w:ascii="Calibri" w:cs="Calibri" w:eastAsia="Calibri" w:hAnsi="Calibri"/>
                <w:b/>
                <w:bCs/>
                <w:color w:val="99DDAA"/>
                <w:sz w:val="18"/>
                <w:szCs w:val="18"/>
              </w:rPr>
              <w:t xml:space="preserve">Country:</w:t>
            </w:r>
          </w:p>
          <w:p>
            <w:pPr>
              <w:spacing w:after="20"/>
            </w:pPr>
            <w:r>
              <w:rPr>
                <w:rFonts w:ascii="Calibri" w:cs="Calibri" w:eastAsia="Calibri" w:hAnsi="Calibri"/>
                <w:b/>
                <w:bCs/>
                <w:color w:val="99DDAA"/>
                <w:sz w:val="18"/>
                <w:szCs w:val="18"/>
              </w:rPr>
              <w:t xml:space="preserve">Presenter / Delegate: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AADAA"/>
                <w:sz w:val="18"/>
                <w:szCs w:val="18"/>
              </w:rPr>
              <w:t xml:space="preserve">Date:  20 July 2026</w:t>
            </w:r>
          </w:p>
        </w:tc>
      </w:tr>
    </w:tbl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80"/>
      </w:tblGrid>
      <w:tr>
        <w:tc>
          <w:tcPr>
            <w:tcW w:type="dxa" w:w="10080"/>
            <w:tcBorders>
              <w:top w:val="single" w:color="C99A3C" w:sz="4"/>
              <w:left w:val="none"/>
              <w:bottom w:val="single" w:color="C99A3C" w:sz="4"/>
              <w:right w:val="none"/>
            </w:tcBorders>
            <w:shd w:fill="FDF8EC" w:val="clear"/>
          </w:tcPr>
          <w:p>
            <w:pPr>
              <w:spacing w:after="0"/>
              <w:jc w:val="both"/>
            </w:pPr>
            <w:r>
              <w:rPr>
                <w:rFonts w:ascii="Calibri" w:cs="Calibri" w:eastAsia="Calibri" w:hAnsi="Calibri"/>
                <w:b/>
                <w:bCs/>
                <w:color w:val="0B4F4A"/>
                <w:sz w:val="18"/>
                <w:szCs w:val="18"/>
              </w:rPr>
              <w:t xml:space="preserve">Instructions: </w:t>
            </w:r>
            <w:r>
              <w:rPr>
                <w:rFonts w:ascii="Calibri" w:cs="Calibri" w:eastAsia="Calibri" w:hAnsi="Calibri"/>
                <w:color w:val="111111"/>
                <w:sz w:val="18"/>
                <w:szCs w:val="18"/>
              </w:rPr>
              <w:t xml:space="preserve">Working with your country pair, assess your current national eCRVS system against each of the seven ACSA Non-Functional Requirements below. For each NFR: tick where your system currently sits; note what would be needed to reach full ACSA compliance; and tick the main barrier. You have </w:t>
            </w:r>
            <w:r>
              <w:rPr>
                <w:rFonts w:ascii="Calibri" w:cs="Calibri" w:eastAsia="Calibri" w:hAnsi="Calibri"/>
                <w:b/>
                <w:bCs/>
                <w:color w:val="C1622D"/>
                <w:sz w:val="18"/>
                <w:szCs w:val="18"/>
              </w:rPr>
              <w:t xml:space="preserve">15 minutes</w:t>
            </w:r>
            <w:r>
              <w:rPr>
                <w:rFonts w:ascii="Calibri" w:cs="Calibri" w:eastAsia="Calibri" w:hAnsi="Calibri"/>
                <w:color w:val="111111"/>
                <w:sz w:val="18"/>
                <w:szCs w:val="18"/>
              </w:rPr>
              <w:t xml:space="preserve">. Complete the commitment section at the bottom before the facilitated discussion begins.</w:t>
            </w:r>
          </w:p>
        </w:tc>
      </w:tr>
    </w:tbl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80"/>
        <w:gridCol w:w="3000"/>
        <w:gridCol w:w="1180"/>
        <w:gridCol w:w="2820"/>
        <w:gridCol w:w="1680"/>
      </w:tblGrid>
      <w:tr>
        <w:tc>
          <w:tcPr>
            <w:tcW w:type="dxa" w:w="680"/>
            <w:tcBorders>
              <w:top w:val="none"/>
              <w:left w:val="none"/>
              <w:bottom w:val="none"/>
              <w:right w:val="none"/>
            </w:tcBorders>
            <w:shd w:fill="0B4F4A" w:val="clear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NFR</w:t>
            </w:r>
          </w:p>
        </w:tc>
        <w:tc>
          <w:tcPr>
            <w:tcW w:type="dxa" w:w="3000"/>
            <w:tcBorders>
              <w:top w:val="none"/>
              <w:left w:val="none"/>
              <w:bottom w:val="none"/>
              <w:right w:val="none"/>
            </w:tcBorders>
            <w:shd w:fill="0B4F4A" w:val="clear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What it covers</w:t>
            </w:r>
          </w:p>
        </w:tc>
        <w:tc>
          <w:tcPr>
            <w:tcW w:type="dxa" w:w="1180"/>
            <w:tcBorders>
              <w:top w:val="none"/>
              <w:left w:val="none"/>
              <w:bottom w:val="none"/>
              <w:right w:val="none"/>
            </w:tcBorders>
            <w:shd w:fill="0B4F4A" w:val="clear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My system currently meets this</w:t>
            </w:r>
          </w:p>
        </w:tc>
        <w:tc>
          <w:tcPr>
            <w:tcW w:type="dxa" w:w="2820"/>
            <w:tcBorders>
              <w:top w:val="none"/>
              <w:left w:val="none"/>
              <w:bottom w:val="none"/>
              <w:right w:val="none"/>
            </w:tcBorders>
            <w:shd w:fill="0B4F4A" w:val="clear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What would be needed to reach ACSA compliance</w:t>
            </w:r>
          </w:p>
        </w:tc>
        <w:tc>
          <w:tcPr>
            <w:tcW w:type="dxa" w:w="1680"/>
            <w:tcBorders>
              <w:top w:val="none"/>
              <w:left w:val="none"/>
              <w:bottom w:val="none"/>
              <w:right w:val="none"/>
            </w:tcBorders>
            <w:shd w:fill="0B4F4A" w:val="clear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Main barrier</w:t>
            </w:r>
          </w:p>
        </w:tc>
      </w:tr>
      <w:tr>
        <w:tc>
          <w:tcPr>
            <w:tcW w:type="dxa" w:w="680"/>
            <w:tcBorders>
              <w:top w:val="single" w:color="D7E4E2" w:sz="2"/>
              <w:left w:val="none"/>
              <w:bottom w:val="single" w:color="D7E4E2" w:sz="2"/>
              <w:right w:val="none"/>
            </w:tcBorders>
            <w:shd w:fill="EFF6F5" w:val="clear"/>
            <w:vAlign w:val="top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B4F4A"/>
                <w:sz w:val="17"/>
                <w:szCs w:val="17"/>
              </w:rPr>
              <w:t xml:space="preserve">NFR 1</w:t>
            </w:r>
          </w:p>
        </w:tc>
        <w:tc>
          <w:tcPr>
            <w:tcW w:type="dxa" w:w="3000"/>
            <w:tcBorders>
              <w:top w:val="single" w:color="D7E4E2" w:sz="2"/>
              <w:left w:val="none"/>
              <w:bottom w:val="single" w:color="D7E4E2" w:sz="2"/>
              <w:right w:val="none"/>
            </w:tcBorders>
            <w:shd w:fill="EFF6F5" w:val="clear"/>
          </w:tcPr>
          <w:p>
            <w:pPr>
              <w:spacing w:after="3"/>
            </w:pPr>
            <w:r>
              <w:rPr>
                <w:rFonts w:ascii="Calibri" w:cs="Calibri" w:eastAsia="Calibri" w:hAnsi="Calibri"/>
                <w:b/>
                <w:bCs/>
                <w:color w:val="0B4F4A"/>
                <w:sz w:val="18"/>
                <w:szCs w:val="18"/>
              </w:rPr>
              <w:t xml:space="preserve">Security &amp; Data Protection</w:t>
            </w:r>
          </w:p>
          <w:p>
            <w:pPr>
              <w:spacing w:after="0"/>
              <w:jc w:val="both"/>
            </w:pPr>
            <w:r>
              <w:rPr>
                <w:rFonts w:ascii="Calibri" w:cs="Calibri" w:eastAsia="Calibri" w:hAnsi="Calibri"/>
                <w:color w:val="777777"/>
                <w:sz w:val="17"/>
                <w:szCs w:val="17"/>
              </w:rPr>
              <w:t xml:space="preserve">Encryption, role-based access control, tamper-proof audit trails, third-party security audits.</w:t>
            </w:r>
          </w:p>
        </w:tc>
        <w:tc>
          <w:tcPr>
            <w:tcW w:type="dxa" w:w="1180"/>
            <w:tcBorders>
              <w:top w:val="single" w:color="D7E4E2" w:sz="2"/>
              <w:left w:val="none"/>
              <w:bottom w:val="single" w:color="D7E4E2" w:sz="2"/>
              <w:right w:val="none"/>
            </w:tcBorders>
            <w:shd w:fill="EFF6F5" w:val="clear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666666"/>
                <w:sz w:val="17"/>
                <w:szCs w:val="17"/>
              </w:rPr>
              <w:t xml:space="preserve">□  Yes    □  Partly    □  No</w:t>
            </w:r>
          </w:p>
        </w:tc>
        <w:tc>
          <w:tcPr>
            <w:tcW w:type="dxa" w:w="2820"/>
            <w:tcBorders>
              <w:top w:val="single" w:color="D7E4E2" w:sz="2"/>
              <w:left w:val="none"/>
              <w:bottom w:val="single" w:color="D7E4E2" w:sz="2"/>
              <w:right w:val="none"/>
            </w:tcBorders>
            <w:shd w:fill="EFF6F5" w:val="clea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111111"/>
                <w:sz w:val="19"/>
                <w:szCs w:val="19"/>
              </w:rPr>
              <w:t xml:space="preserve"/>
            </w:r>
          </w:p>
        </w:tc>
        <w:tc>
          <w:tcPr>
            <w:tcW w:type="dxa" w:w="1680"/>
            <w:tcBorders>
              <w:top w:val="single" w:color="D7E4E2" w:sz="2"/>
              <w:left w:val="none"/>
              <w:bottom w:val="single" w:color="D7E4E2" w:sz="2"/>
              <w:right w:val="none"/>
            </w:tcBorders>
            <w:shd w:fill="EFF6F5" w:val="clear"/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666666"/>
                <w:sz w:val="16"/>
                <w:szCs w:val="16"/>
              </w:rPr>
              <w:t xml:space="preserve">□ Legal  □ Financial
□ Technical  □ Capacity</w:t>
            </w:r>
          </w:p>
        </w:tc>
      </w:tr>
      <w:tr>
        <w:tc>
          <w:tcPr>
            <w:tcW w:type="dxa" w:w="680"/>
            <w:tcBorders>
              <w:top w:val="single" w:color="D7E4E2" w:sz="2"/>
              <w:left w:val="none"/>
              <w:bottom w:val="single" w:color="D7E4E2" w:sz="2"/>
              <w:right w:val="none"/>
            </w:tcBorders>
            <w:shd w:fill="FFFFFF" w:val="clear"/>
            <w:vAlign w:val="top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B4F4A"/>
                <w:sz w:val="17"/>
                <w:szCs w:val="17"/>
              </w:rPr>
              <w:t xml:space="preserve">NFR 2</w:t>
            </w:r>
          </w:p>
        </w:tc>
        <w:tc>
          <w:tcPr>
            <w:tcW w:type="dxa" w:w="3000"/>
            <w:tcBorders>
              <w:top w:val="single" w:color="D7E4E2" w:sz="2"/>
              <w:left w:val="none"/>
              <w:bottom w:val="single" w:color="D7E4E2" w:sz="2"/>
              <w:right w:val="none"/>
            </w:tcBorders>
            <w:shd w:fill="FFFFFF" w:val="clear"/>
          </w:tcPr>
          <w:p>
            <w:pPr>
              <w:spacing w:after="3"/>
            </w:pPr>
            <w:r>
              <w:rPr>
                <w:rFonts w:ascii="Calibri" w:cs="Calibri" w:eastAsia="Calibri" w:hAnsi="Calibri"/>
                <w:b/>
                <w:bCs/>
                <w:color w:val="0B4F4A"/>
                <w:sz w:val="18"/>
                <w:szCs w:val="18"/>
              </w:rPr>
              <w:t xml:space="preserve">Performance</w:t>
            </w:r>
          </w:p>
          <w:p>
            <w:pPr>
              <w:spacing w:after="0"/>
              <w:jc w:val="both"/>
            </w:pPr>
            <w:r>
              <w:rPr>
                <w:rFonts w:ascii="Calibri" w:cs="Calibri" w:eastAsia="Calibri" w:hAnsi="Calibri"/>
                <w:color w:val="777777"/>
                <w:sz w:val="17"/>
                <w:szCs w:val="17"/>
              </w:rPr>
              <w:t xml:space="preserve">Defined response times under standard and peak load; batch processing capability for mass registration.</w:t>
            </w:r>
          </w:p>
        </w:tc>
        <w:tc>
          <w:tcPr>
            <w:tcW w:type="dxa" w:w="1180"/>
            <w:tcBorders>
              <w:top w:val="single" w:color="D7E4E2" w:sz="2"/>
              <w:left w:val="none"/>
              <w:bottom w:val="single" w:color="D7E4E2" w:sz="2"/>
              <w:right w:val="none"/>
            </w:tcBorders>
            <w:shd w:fill="FFFFFF" w:val="clear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666666"/>
                <w:sz w:val="17"/>
                <w:szCs w:val="17"/>
              </w:rPr>
              <w:t xml:space="preserve">□  Yes    □  Partly    □  No</w:t>
            </w:r>
          </w:p>
        </w:tc>
        <w:tc>
          <w:tcPr>
            <w:tcW w:type="dxa" w:w="2820"/>
            <w:tcBorders>
              <w:top w:val="single" w:color="D7E4E2" w:sz="2"/>
              <w:left w:val="none"/>
              <w:bottom w:val="single" w:color="D7E4E2" w:sz="2"/>
              <w:right w:val="none"/>
            </w:tcBorders>
            <w:shd w:fill="FFFFFF" w:val="clea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111111"/>
                <w:sz w:val="19"/>
                <w:szCs w:val="19"/>
              </w:rPr>
              <w:t xml:space="preserve"/>
            </w:r>
          </w:p>
        </w:tc>
        <w:tc>
          <w:tcPr>
            <w:tcW w:type="dxa" w:w="1680"/>
            <w:tcBorders>
              <w:top w:val="single" w:color="D7E4E2" w:sz="2"/>
              <w:left w:val="none"/>
              <w:bottom w:val="single" w:color="D7E4E2" w:sz="2"/>
              <w:right w:val="none"/>
            </w:tcBorders>
            <w:shd w:fill="FFFFFF" w:val="clear"/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666666"/>
                <w:sz w:val="16"/>
                <w:szCs w:val="16"/>
              </w:rPr>
              <w:t xml:space="preserve">□ Legal  □ Financial
□ Technical  □ Capacity</w:t>
            </w:r>
          </w:p>
        </w:tc>
      </w:tr>
      <w:tr>
        <w:tc>
          <w:tcPr>
            <w:tcW w:type="dxa" w:w="680"/>
            <w:tcBorders>
              <w:top w:val="single" w:color="D7E4E2" w:sz="2"/>
              <w:left w:val="none"/>
              <w:bottom w:val="single" w:color="D7E4E2" w:sz="2"/>
              <w:right w:val="none"/>
            </w:tcBorders>
            <w:shd w:fill="EFF6F5" w:val="clear"/>
            <w:vAlign w:val="top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B4F4A"/>
                <w:sz w:val="17"/>
                <w:szCs w:val="17"/>
              </w:rPr>
              <w:t xml:space="preserve">NFR 3</w:t>
            </w:r>
          </w:p>
        </w:tc>
        <w:tc>
          <w:tcPr>
            <w:tcW w:type="dxa" w:w="3000"/>
            <w:tcBorders>
              <w:top w:val="single" w:color="D7E4E2" w:sz="2"/>
              <w:left w:val="none"/>
              <w:bottom w:val="single" w:color="D7E4E2" w:sz="2"/>
              <w:right w:val="none"/>
            </w:tcBorders>
            <w:shd w:fill="EFF6F5" w:val="clear"/>
          </w:tcPr>
          <w:p>
            <w:pPr>
              <w:spacing w:after="3"/>
            </w:pPr>
            <w:r>
              <w:rPr>
                <w:rFonts w:ascii="Calibri" w:cs="Calibri" w:eastAsia="Calibri" w:hAnsi="Calibri"/>
                <w:b/>
                <w:bCs/>
                <w:color w:val="0B4F4A"/>
                <w:sz w:val="18"/>
                <w:szCs w:val="18"/>
              </w:rPr>
              <w:t xml:space="preserve">Scalability</w:t>
            </w:r>
          </w:p>
          <w:p>
            <w:pPr>
              <w:spacing w:after="0"/>
              <w:jc w:val="both"/>
            </w:pPr>
            <w:r>
              <w:rPr>
                <w:rFonts w:ascii="Calibri" w:cs="Calibri" w:eastAsia="Calibri" w:hAnsi="Calibri"/>
                <w:color w:val="777777"/>
                <w:sz w:val="17"/>
                <w:szCs w:val="17"/>
              </w:rPr>
              <w:t xml:space="preserve">Horizontal and vertical scaling from pilot to national without re-engineering the system.</w:t>
            </w:r>
          </w:p>
        </w:tc>
        <w:tc>
          <w:tcPr>
            <w:tcW w:type="dxa" w:w="1180"/>
            <w:tcBorders>
              <w:top w:val="single" w:color="D7E4E2" w:sz="2"/>
              <w:left w:val="none"/>
              <w:bottom w:val="single" w:color="D7E4E2" w:sz="2"/>
              <w:right w:val="none"/>
            </w:tcBorders>
            <w:shd w:fill="EFF6F5" w:val="clear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666666"/>
                <w:sz w:val="17"/>
                <w:szCs w:val="17"/>
              </w:rPr>
              <w:t xml:space="preserve">□  Yes    □  Partly    □  No</w:t>
            </w:r>
          </w:p>
        </w:tc>
        <w:tc>
          <w:tcPr>
            <w:tcW w:type="dxa" w:w="2820"/>
            <w:tcBorders>
              <w:top w:val="single" w:color="D7E4E2" w:sz="2"/>
              <w:left w:val="none"/>
              <w:bottom w:val="single" w:color="D7E4E2" w:sz="2"/>
              <w:right w:val="none"/>
            </w:tcBorders>
            <w:shd w:fill="EFF6F5" w:val="clea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111111"/>
                <w:sz w:val="19"/>
                <w:szCs w:val="19"/>
              </w:rPr>
              <w:t xml:space="preserve"/>
            </w:r>
          </w:p>
        </w:tc>
        <w:tc>
          <w:tcPr>
            <w:tcW w:type="dxa" w:w="1680"/>
            <w:tcBorders>
              <w:top w:val="single" w:color="D7E4E2" w:sz="2"/>
              <w:left w:val="none"/>
              <w:bottom w:val="single" w:color="D7E4E2" w:sz="2"/>
              <w:right w:val="none"/>
            </w:tcBorders>
            <w:shd w:fill="EFF6F5" w:val="clear"/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666666"/>
                <w:sz w:val="16"/>
                <w:szCs w:val="16"/>
              </w:rPr>
              <w:t xml:space="preserve">□ Legal  □ Financial
□ Technical  □ Capacity</w:t>
            </w:r>
          </w:p>
        </w:tc>
      </w:tr>
      <w:tr>
        <w:tc>
          <w:tcPr>
            <w:tcW w:type="dxa" w:w="680"/>
            <w:tcBorders>
              <w:top w:val="single" w:color="D7E4E2" w:sz="2"/>
              <w:left w:val="none"/>
              <w:bottom w:val="single" w:color="D7E4E2" w:sz="2"/>
              <w:right w:val="none"/>
            </w:tcBorders>
            <w:shd w:fill="FFFFFF" w:val="clear"/>
            <w:vAlign w:val="top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B4F4A"/>
                <w:sz w:val="17"/>
                <w:szCs w:val="17"/>
              </w:rPr>
              <w:t xml:space="preserve">NFR 4</w:t>
            </w:r>
          </w:p>
        </w:tc>
        <w:tc>
          <w:tcPr>
            <w:tcW w:type="dxa" w:w="3000"/>
            <w:tcBorders>
              <w:top w:val="single" w:color="D7E4E2" w:sz="2"/>
              <w:left w:val="none"/>
              <w:bottom w:val="single" w:color="D7E4E2" w:sz="2"/>
              <w:right w:val="none"/>
            </w:tcBorders>
            <w:shd w:fill="FFFFFF" w:val="clear"/>
          </w:tcPr>
          <w:p>
            <w:pPr>
              <w:spacing w:after="3"/>
            </w:pPr>
            <w:r>
              <w:rPr>
                <w:rFonts w:ascii="Calibri" w:cs="Calibri" w:eastAsia="Calibri" w:hAnsi="Calibri"/>
                <w:b/>
                <w:bCs/>
                <w:color w:val="0B4F4A"/>
                <w:sz w:val="18"/>
                <w:szCs w:val="18"/>
              </w:rPr>
              <w:t xml:space="preserve">Availability &amp; Reliability</w:t>
            </w:r>
          </w:p>
          <w:p>
            <w:pPr>
              <w:spacing w:after="0"/>
              <w:jc w:val="both"/>
            </w:pPr>
            <w:r>
              <w:rPr>
                <w:rFonts w:ascii="Calibri" w:cs="Calibri" w:eastAsia="Calibri" w:hAnsi="Calibri"/>
                <w:color w:val="777777"/>
                <w:sz w:val="17"/>
                <w:szCs w:val="17"/>
              </w:rPr>
              <w:t xml:space="preserve">Minimum uptime thresholds; offline-capable registration workflow with reliable sync on reconnection.</w:t>
            </w:r>
          </w:p>
        </w:tc>
        <w:tc>
          <w:tcPr>
            <w:tcW w:type="dxa" w:w="1180"/>
            <w:tcBorders>
              <w:top w:val="single" w:color="D7E4E2" w:sz="2"/>
              <w:left w:val="none"/>
              <w:bottom w:val="single" w:color="D7E4E2" w:sz="2"/>
              <w:right w:val="none"/>
            </w:tcBorders>
            <w:shd w:fill="FFFFFF" w:val="clear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666666"/>
                <w:sz w:val="17"/>
                <w:szCs w:val="17"/>
              </w:rPr>
              <w:t xml:space="preserve">□  Yes    □  Partly    □  No</w:t>
            </w:r>
          </w:p>
        </w:tc>
        <w:tc>
          <w:tcPr>
            <w:tcW w:type="dxa" w:w="2820"/>
            <w:tcBorders>
              <w:top w:val="single" w:color="D7E4E2" w:sz="2"/>
              <w:left w:val="none"/>
              <w:bottom w:val="single" w:color="D7E4E2" w:sz="2"/>
              <w:right w:val="none"/>
            </w:tcBorders>
            <w:shd w:fill="FFFFFF" w:val="clea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111111"/>
                <w:sz w:val="19"/>
                <w:szCs w:val="19"/>
              </w:rPr>
              <w:t xml:space="preserve"/>
            </w:r>
          </w:p>
        </w:tc>
        <w:tc>
          <w:tcPr>
            <w:tcW w:type="dxa" w:w="1680"/>
            <w:tcBorders>
              <w:top w:val="single" w:color="D7E4E2" w:sz="2"/>
              <w:left w:val="none"/>
              <w:bottom w:val="single" w:color="D7E4E2" w:sz="2"/>
              <w:right w:val="none"/>
            </w:tcBorders>
            <w:shd w:fill="FFFFFF" w:val="clear"/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666666"/>
                <w:sz w:val="16"/>
                <w:szCs w:val="16"/>
              </w:rPr>
              <w:t xml:space="preserve">□ Legal  □ Financial
□ Technical  □ Capacity</w:t>
            </w:r>
          </w:p>
        </w:tc>
      </w:tr>
      <w:tr>
        <w:tc>
          <w:tcPr>
            <w:tcW w:type="dxa" w:w="680"/>
            <w:tcBorders>
              <w:top w:val="single" w:color="D7E4E2" w:sz="2"/>
              <w:left w:val="none"/>
              <w:bottom w:val="single" w:color="D7E4E2" w:sz="2"/>
              <w:right w:val="none"/>
            </w:tcBorders>
            <w:shd w:fill="EFF6F5" w:val="clear"/>
            <w:vAlign w:val="top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B4F4A"/>
                <w:sz w:val="17"/>
                <w:szCs w:val="17"/>
              </w:rPr>
              <w:t xml:space="preserve">NFR 5</w:t>
            </w:r>
          </w:p>
        </w:tc>
        <w:tc>
          <w:tcPr>
            <w:tcW w:type="dxa" w:w="3000"/>
            <w:tcBorders>
              <w:top w:val="single" w:color="D7E4E2" w:sz="2"/>
              <w:left w:val="none"/>
              <w:bottom w:val="single" w:color="D7E4E2" w:sz="2"/>
              <w:right w:val="none"/>
            </w:tcBorders>
            <w:shd w:fill="EFF6F5" w:val="clear"/>
          </w:tcPr>
          <w:p>
            <w:pPr>
              <w:spacing w:after="3"/>
            </w:pPr>
            <w:r>
              <w:rPr>
                <w:rFonts w:ascii="Calibri" w:cs="Calibri" w:eastAsia="Calibri" w:hAnsi="Calibri"/>
                <w:b/>
                <w:bCs/>
                <w:color w:val="0B4F4A"/>
                <w:sz w:val="18"/>
                <w:szCs w:val="18"/>
              </w:rPr>
              <w:t xml:space="preserve">Interoperability</w:t>
            </w:r>
          </w:p>
          <w:p>
            <w:pPr>
              <w:spacing w:after="0"/>
              <w:jc w:val="both"/>
            </w:pPr>
            <w:r>
              <w:rPr>
                <w:rFonts w:ascii="Calibri" w:cs="Calibri" w:eastAsia="Calibri" w:hAnsi="Calibri"/>
                <w:color w:val="777777"/>
                <w:sz w:val="17"/>
                <w:szCs w:val="17"/>
              </w:rPr>
              <w:t xml:space="preserve">Open API architecture; FHIR-compliant health interfaces; national ID integration; exchange protocols.</w:t>
            </w:r>
          </w:p>
        </w:tc>
        <w:tc>
          <w:tcPr>
            <w:tcW w:type="dxa" w:w="1180"/>
            <w:tcBorders>
              <w:top w:val="single" w:color="D7E4E2" w:sz="2"/>
              <w:left w:val="none"/>
              <w:bottom w:val="single" w:color="D7E4E2" w:sz="2"/>
              <w:right w:val="none"/>
            </w:tcBorders>
            <w:shd w:fill="EFF6F5" w:val="clear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666666"/>
                <w:sz w:val="17"/>
                <w:szCs w:val="17"/>
              </w:rPr>
              <w:t xml:space="preserve">□  Yes    □  Partly    □  No</w:t>
            </w:r>
          </w:p>
        </w:tc>
        <w:tc>
          <w:tcPr>
            <w:tcW w:type="dxa" w:w="2820"/>
            <w:tcBorders>
              <w:top w:val="single" w:color="D7E4E2" w:sz="2"/>
              <w:left w:val="none"/>
              <w:bottom w:val="single" w:color="D7E4E2" w:sz="2"/>
              <w:right w:val="none"/>
            </w:tcBorders>
            <w:shd w:fill="EFF6F5" w:val="clea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111111"/>
                <w:sz w:val="19"/>
                <w:szCs w:val="19"/>
              </w:rPr>
              <w:t xml:space="preserve"/>
            </w:r>
          </w:p>
        </w:tc>
        <w:tc>
          <w:tcPr>
            <w:tcW w:type="dxa" w:w="1680"/>
            <w:tcBorders>
              <w:top w:val="single" w:color="D7E4E2" w:sz="2"/>
              <w:left w:val="none"/>
              <w:bottom w:val="single" w:color="D7E4E2" w:sz="2"/>
              <w:right w:val="none"/>
            </w:tcBorders>
            <w:shd w:fill="EFF6F5" w:val="clear"/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666666"/>
                <w:sz w:val="16"/>
                <w:szCs w:val="16"/>
              </w:rPr>
              <w:t xml:space="preserve">□ Legal  □ Financial
□ Technical  □ Capacity</w:t>
            </w:r>
          </w:p>
        </w:tc>
      </w:tr>
      <w:tr>
        <w:tc>
          <w:tcPr>
            <w:tcW w:type="dxa" w:w="680"/>
            <w:tcBorders>
              <w:top w:val="single" w:color="D7E4E2" w:sz="2"/>
              <w:left w:val="none"/>
              <w:bottom w:val="single" w:color="D7E4E2" w:sz="2"/>
              <w:right w:val="none"/>
            </w:tcBorders>
            <w:shd w:fill="FFFFFF" w:val="clear"/>
            <w:vAlign w:val="top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B4F4A"/>
                <w:sz w:val="17"/>
                <w:szCs w:val="17"/>
              </w:rPr>
              <w:t xml:space="preserve">NFR 6</w:t>
            </w:r>
          </w:p>
        </w:tc>
        <w:tc>
          <w:tcPr>
            <w:tcW w:type="dxa" w:w="3000"/>
            <w:tcBorders>
              <w:top w:val="single" w:color="D7E4E2" w:sz="2"/>
              <w:left w:val="none"/>
              <w:bottom w:val="single" w:color="D7E4E2" w:sz="2"/>
              <w:right w:val="none"/>
            </w:tcBorders>
            <w:shd w:fill="FFFFFF" w:val="clear"/>
          </w:tcPr>
          <w:p>
            <w:pPr>
              <w:spacing w:after="3"/>
            </w:pPr>
            <w:r>
              <w:rPr>
                <w:rFonts w:ascii="Calibri" w:cs="Calibri" w:eastAsia="Calibri" w:hAnsi="Calibri"/>
                <w:b/>
                <w:bCs/>
                <w:color w:val="0B4F4A"/>
                <w:sz w:val="18"/>
                <w:szCs w:val="18"/>
              </w:rPr>
              <w:t xml:space="preserve">Accessibility &amp; Inclusivity</w:t>
            </w:r>
          </w:p>
          <w:p>
            <w:pPr>
              <w:spacing w:after="0"/>
              <w:jc w:val="both"/>
            </w:pPr>
            <w:r>
              <w:rPr>
                <w:rFonts w:ascii="Calibri" w:cs="Calibri" w:eastAsia="Calibri" w:hAnsi="Calibri"/>
                <w:color w:val="777777"/>
                <w:sz w:val="17"/>
                <w:szCs w:val="17"/>
              </w:rPr>
              <w:t xml:space="preserve">Mobile-first; multilingual; low-literacy workflows; explicit reach for nomadic, displaced, and rural populations.</w:t>
            </w:r>
          </w:p>
        </w:tc>
        <w:tc>
          <w:tcPr>
            <w:tcW w:type="dxa" w:w="1180"/>
            <w:tcBorders>
              <w:top w:val="single" w:color="D7E4E2" w:sz="2"/>
              <w:left w:val="none"/>
              <w:bottom w:val="single" w:color="D7E4E2" w:sz="2"/>
              <w:right w:val="none"/>
            </w:tcBorders>
            <w:shd w:fill="FFFFFF" w:val="clear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666666"/>
                <w:sz w:val="17"/>
                <w:szCs w:val="17"/>
              </w:rPr>
              <w:t xml:space="preserve">□  Yes    □  Partly    □  No</w:t>
            </w:r>
          </w:p>
        </w:tc>
        <w:tc>
          <w:tcPr>
            <w:tcW w:type="dxa" w:w="2820"/>
            <w:tcBorders>
              <w:top w:val="single" w:color="D7E4E2" w:sz="2"/>
              <w:left w:val="none"/>
              <w:bottom w:val="single" w:color="D7E4E2" w:sz="2"/>
              <w:right w:val="none"/>
            </w:tcBorders>
            <w:shd w:fill="FFFFFF" w:val="clea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111111"/>
                <w:sz w:val="19"/>
                <w:szCs w:val="19"/>
              </w:rPr>
              <w:t xml:space="preserve"/>
            </w:r>
          </w:p>
        </w:tc>
        <w:tc>
          <w:tcPr>
            <w:tcW w:type="dxa" w:w="1680"/>
            <w:tcBorders>
              <w:top w:val="single" w:color="D7E4E2" w:sz="2"/>
              <w:left w:val="none"/>
              <w:bottom w:val="single" w:color="D7E4E2" w:sz="2"/>
              <w:right w:val="none"/>
            </w:tcBorders>
            <w:shd w:fill="FFFFFF" w:val="clear"/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666666"/>
                <w:sz w:val="16"/>
                <w:szCs w:val="16"/>
              </w:rPr>
              <w:t xml:space="preserve">□ Legal  □ Financial
□ Technical  □ Capacity</w:t>
            </w:r>
          </w:p>
        </w:tc>
      </w:tr>
      <w:tr>
        <w:tc>
          <w:tcPr>
            <w:tcW w:type="dxa" w:w="680"/>
            <w:tcBorders>
              <w:top w:val="single" w:color="D7E4E2" w:sz="2"/>
              <w:left w:val="none"/>
              <w:bottom w:val="single" w:color="D7E4E2" w:sz="2"/>
              <w:right w:val="none"/>
            </w:tcBorders>
            <w:shd w:fill="EFF6F5" w:val="clear"/>
            <w:vAlign w:val="top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B4F4A"/>
                <w:sz w:val="17"/>
                <w:szCs w:val="17"/>
              </w:rPr>
              <w:t xml:space="preserve">NFR 7</w:t>
            </w:r>
          </w:p>
        </w:tc>
        <w:tc>
          <w:tcPr>
            <w:tcW w:type="dxa" w:w="3000"/>
            <w:tcBorders>
              <w:top w:val="single" w:color="D7E4E2" w:sz="2"/>
              <w:left w:val="none"/>
              <w:bottom w:val="single" w:color="D7E4E2" w:sz="2"/>
              <w:right w:val="none"/>
            </w:tcBorders>
            <w:shd w:fill="EFF6F5" w:val="clear"/>
          </w:tcPr>
          <w:p>
            <w:pPr>
              <w:spacing w:after="3"/>
            </w:pPr>
            <w:r>
              <w:rPr>
                <w:rFonts w:ascii="Calibri" w:cs="Calibri" w:eastAsia="Calibri" w:hAnsi="Calibri"/>
                <w:b/>
                <w:bCs/>
                <w:color w:val="0B4F4A"/>
                <w:sz w:val="18"/>
                <w:szCs w:val="18"/>
              </w:rPr>
              <w:t xml:space="preserve">Maintainability &amp; Auditability</w:t>
            </w:r>
          </w:p>
          <w:p>
            <w:pPr>
              <w:spacing w:after="0"/>
              <w:jc w:val="both"/>
            </w:pPr>
            <w:r>
              <w:rPr>
                <w:rFonts w:ascii="Calibri" w:cs="Calibri" w:eastAsia="Calibri" w:hAnsi="Calibri"/>
                <w:color w:val="777777"/>
                <w:sz w:val="17"/>
                <w:szCs w:val="17"/>
              </w:rPr>
              <w:t xml:space="preserve">Open-source or escrow provision; documentation for national ICT teams; system health dashboards.</w:t>
            </w:r>
          </w:p>
        </w:tc>
        <w:tc>
          <w:tcPr>
            <w:tcW w:type="dxa" w:w="1180"/>
            <w:tcBorders>
              <w:top w:val="single" w:color="D7E4E2" w:sz="2"/>
              <w:left w:val="none"/>
              <w:bottom w:val="single" w:color="D7E4E2" w:sz="2"/>
              <w:right w:val="none"/>
            </w:tcBorders>
            <w:shd w:fill="EFF6F5" w:val="clear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666666"/>
                <w:sz w:val="17"/>
                <w:szCs w:val="17"/>
              </w:rPr>
              <w:t xml:space="preserve">□  Yes    □  Partly    □  No</w:t>
            </w:r>
          </w:p>
        </w:tc>
        <w:tc>
          <w:tcPr>
            <w:tcW w:type="dxa" w:w="2820"/>
            <w:tcBorders>
              <w:top w:val="single" w:color="D7E4E2" w:sz="2"/>
              <w:left w:val="none"/>
              <w:bottom w:val="single" w:color="D7E4E2" w:sz="2"/>
              <w:right w:val="none"/>
            </w:tcBorders>
            <w:shd w:fill="EFF6F5" w:val="clea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111111"/>
                <w:sz w:val="19"/>
                <w:szCs w:val="19"/>
              </w:rPr>
              <w:t xml:space="preserve"/>
            </w:r>
          </w:p>
        </w:tc>
        <w:tc>
          <w:tcPr>
            <w:tcW w:type="dxa" w:w="1680"/>
            <w:tcBorders>
              <w:top w:val="single" w:color="D7E4E2" w:sz="2"/>
              <w:left w:val="none"/>
              <w:bottom w:val="single" w:color="D7E4E2" w:sz="2"/>
              <w:right w:val="none"/>
            </w:tcBorders>
            <w:shd w:fill="EFF6F5" w:val="clear"/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666666"/>
                <w:sz w:val="16"/>
                <w:szCs w:val="16"/>
              </w:rPr>
              <w:t xml:space="preserve">□ Legal  □ Financial
□ Technical  □ Capacity</w:t>
            </w:r>
          </w:p>
        </w:tc>
      </w:tr>
    </w:tbl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80"/>
      </w:tblGrid>
      <w:tr>
        <w:tc>
          <w:tcPr>
            <w:tcW w:type="dxa" w:w="10080"/>
            <w:tcBorders>
              <w:top w:val="none"/>
              <w:left w:val="none"/>
              <w:bottom w:val="none"/>
              <w:right w:val="none"/>
            </w:tcBorders>
            <w:shd w:fill="0B4F4A" w:val="clea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99DDAA"/>
                <w:sz w:val="17"/>
                <w:szCs w:val="17"/>
              </w:rPr>
              <w:t xml:space="preserve">COUNTRY COMMITMENTS AND SUPPORT NEEDS</w:t>
            </w:r>
          </w:p>
        </w:tc>
      </w:tr>
    </w:tbl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3440"/>
        <w:gridCol w:w="3440"/>
      </w:tblGrid>
      <w:tr>
        <w:tc>
          <w:tcPr>
            <w:tcW w:type="dxa" w:w="3200"/>
            <w:tcBorders>
              <w:top w:val="single" w:color="D7E4E2" w:sz="2"/>
              <w:left w:val="none"/>
              <w:bottom w:val="single" w:color="D7E4E2" w:sz="2"/>
              <w:right w:val="none"/>
            </w:tcBorders>
            <w:shd w:fill="EFF6F5" w:val="clear"/>
          </w:tcPr>
          <w:p>
            <w:pPr>
              <w:spacing w:after="4"/>
            </w:pPr>
            <w:r>
              <w:rPr>
                <w:rFonts w:ascii="Calibri" w:cs="Calibri" w:eastAsia="Calibri" w:hAnsi="Calibri"/>
                <w:b/>
                <w:bCs/>
                <w:color w:val="0B4F4A"/>
                <w:sz w:val="17"/>
                <w:szCs w:val="17"/>
              </w:rPr>
              <w:t xml:space="preserve">Our priority ACSA component to start with:</w:t>
            </w:r>
          </w:p>
          <w:p>
            <w:pPr>
              <w:spacing w:after="4"/>
            </w:pPr>
            <w:r>
              <w:rPr>
                <w:rFonts w:ascii="Calibri" w:cs="Calibri" w:eastAsia="Calibri" w:hAnsi="Calibri"/>
                <w:color w:val="111111"/>
                <w:sz w:val="17"/>
                <w:szCs w:val="17"/>
              </w:rPr>
              <w:t xml:space="preserve">□  Design Principles</w:t>
            </w:r>
          </w:p>
          <w:p>
            <w:pPr>
              <w:spacing w:after="4"/>
            </w:pPr>
            <w:r>
              <w:rPr>
                <w:rFonts w:ascii="Calibri" w:cs="Calibri" w:eastAsia="Calibri" w:hAnsi="Calibri"/>
                <w:color w:val="111111"/>
                <w:sz w:val="17"/>
                <w:szCs w:val="17"/>
              </w:rPr>
              <w:t xml:space="preserve">□  Data Standards</w:t>
            </w:r>
          </w:p>
          <w:p>
            <w:pPr>
              <w:spacing w:after="4"/>
            </w:pPr>
            <w:r>
              <w:rPr>
                <w:rFonts w:ascii="Calibri" w:cs="Calibri" w:eastAsia="Calibri" w:hAnsi="Calibri"/>
                <w:color w:val="111111"/>
                <w:sz w:val="17"/>
                <w:szCs w:val="17"/>
              </w:rPr>
              <w:t xml:space="preserve">□  Functional Requirements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111111"/>
                <w:sz w:val="17"/>
                <w:szCs w:val="17"/>
              </w:rPr>
              <w:t xml:space="preserve">□  Non-Functional Requirements</w:t>
            </w:r>
          </w:p>
        </w:tc>
        <w:tc>
          <w:tcPr>
            <w:tcW w:type="dxa" w:w="3440"/>
            <w:tcBorders>
              <w:top w:val="single" w:color="D7E4E2" w:sz="2"/>
              <w:left w:val="none"/>
              <w:bottom w:val="single" w:color="D7E4E2" w:sz="2"/>
              <w:right w:val="none"/>
            </w:tcBorders>
            <w:shd w:fill="FFFFFF" w:val="clear"/>
          </w:tcPr>
          <w:p>
            <w:pPr>
              <w:spacing w:after="4"/>
            </w:pPr>
            <w:r>
              <w:rPr>
                <w:rFonts w:ascii="Calibri" w:cs="Calibri" w:eastAsia="Calibri" w:hAnsi="Calibri"/>
                <w:b/>
                <w:bCs/>
                <w:color w:val="0B4F4A"/>
                <w:sz w:val="17"/>
                <w:szCs w:val="17"/>
              </w:rPr>
              <w:t xml:space="preserve">One commitment we can make in the next 12 months: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111111"/>
                <w:sz w:val="17"/>
                <w:szCs w:val="17"/>
              </w:rPr>
              <w:t xml:space="preserve"/>
            </w:r>
          </w:p>
        </w:tc>
        <w:tc>
          <w:tcPr>
            <w:tcW w:type="dxa" w:w="3440"/>
            <w:tcBorders>
              <w:top w:val="single" w:color="D7E4E2" w:sz="2"/>
              <w:left w:val="none"/>
              <w:bottom w:val="single" w:color="D7E4E2" w:sz="2"/>
              <w:right w:val="none"/>
            </w:tcBorders>
            <w:shd w:fill="EFF6F5" w:val="clear"/>
          </w:tcPr>
          <w:p>
            <w:pPr>
              <w:spacing w:after="4"/>
            </w:pPr>
            <w:r>
              <w:rPr>
                <w:rFonts w:ascii="Calibri" w:cs="Calibri" w:eastAsia="Calibri" w:hAnsi="Calibri"/>
                <w:b/>
                <w:bCs/>
                <w:color w:val="0B4F4A"/>
                <w:sz w:val="17"/>
                <w:szCs w:val="17"/>
              </w:rPr>
              <w:t xml:space="preserve">One piece of support we need from the Secretariat or partners: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111111"/>
                <w:sz w:val="17"/>
                <w:szCs w:val="17"/>
              </w:rPr>
              <w:t xml:space="preserve"/>
            </w:r>
          </w:p>
        </w:tc>
      </w:tr>
    </w:tbl>
    <w:p>
      <w:pPr>
        <w:spacing w:after="0" w:before="60"/>
        <w:jc w:val="center"/>
      </w:pPr>
      <w:r>
        <w:rPr>
          <w:rFonts w:ascii="Calibri" w:cs="Calibri" w:eastAsia="Calibri" w:hAnsi="Calibri"/>
          <w:color w:val="777777"/>
          <w:sz w:val="15"/>
          <w:szCs w:val="15"/>
        </w:rPr>
        <w:t xml:space="preserve">Outputs from this worksheet feed directly into the Consolidated Action Plan being drafted on Day 4.  </w:t>
      </w:r>
      <w:r>
        <w:rPr>
          <w:rFonts w:ascii="Calibri" w:cs="Calibri" w:eastAsia="Calibri" w:hAnsi="Calibri"/>
          <w:b/>
          <w:bCs/>
          <w:color w:val="0B4F4A"/>
          <w:sz w:val="15"/>
          <w:szCs w:val="15"/>
        </w:rPr>
        <w:t xml:space="preserve">APAI-CRVS Secretariat  |  EGM Victoria Falls 2026</w:t>
      </w:r>
    </w:p>
    <w:sectPr>
      <w:headerReference w:type="default" r:id="rId7"/>
      <w:pgSz w:w="12240" w:h="15840" w:orient="portrait"/>
      <w:pgMar w:top="720" w:right="1080" w:bottom="72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DDDDDD" w:sz="3" w:space="3"/>
      </w:pBdr>
      <w:spacing w:after="0"/>
      <w:jc w:val="right"/>
    </w:pPr>
    <w:r>
      <w:rPr>
        <w:rFonts w:ascii="Calibri" w:cs="Calibri" w:eastAsia="Calibri" w:hAnsi="Calibri"/>
        <w:color w:val="777777"/>
        <w:sz w:val="15"/>
        <w:szCs w:val="15"/>
      </w:rPr>
      <w:t xml:space="preserve">ACSA Country Self-Assessment Worksheet  |  Breakout C — Digitalization  |  EGM Victoria Falls, 20 July 2026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2026-07-19T08:07:16.906Z</dcterms:created>
  <dcterms:modified xsi:type="dcterms:W3CDTF">2026-07-19T08:07:16.907Z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