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371CD" w14:textId="77777777" w:rsidR="00D71A23" w:rsidRPr="00F2464F" w:rsidRDefault="00D71A23" w:rsidP="00D71A23">
      <w:pPr>
        <w:spacing w:line="276" w:lineRule="auto"/>
        <w:rPr>
          <w:rFonts w:ascii="Arial" w:hAnsi="Arial" w:cs="Arial"/>
          <w:b/>
          <w:bCs/>
        </w:rPr>
      </w:pPr>
      <w:r w:rsidRPr="00F2464F">
        <w:rPr>
          <w:rFonts w:ascii="Arial" w:hAnsi="Arial" w:cs="Arial"/>
          <w:b/>
          <w:bCs/>
        </w:rPr>
        <w:t>BREAKOUT SESSION REPORT</w:t>
      </w:r>
    </w:p>
    <w:p w14:paraId="7EF61623" w14:textId="443AD8E0" w:rsidR="00D71A23" w:rsidRPr="00F2464F" w:rsidRDefault="00D71A23" w:rsidP="00D71A23">
      <w:pPr>
        <w:rPr>
          <w:rFonts w:ascii="Arial" w:hAnsi="Arial" w:cs="Arial"/>
          <w:b/>
          <w:bCs/>
        </w:rPr>
      </w:pPr>
      <w:r w:rsidRPr="00F2464F">
        <w:rPr>
          <w:rFonts w:ascii="Arial" w:hAnsi="Arial" w:cs="Arial"/>
          <w:b/>
          <w:bCs/>
        </w:rPr>
        <w:t>Breakout A: Interoperability — Developing Country-Led Roadmaps</w:t>
      </w:r>
      <w:r w:rsidRPr="00F2464F">
        <w:rPr>
          <w:rFonts w:ascii="Arial" w:hAnsi="Arial" w:cs="Arial"/>
          <w:b/>
          <w:bCs/>
        </w:rPr>
        <w:t xml:space="preserve"> </w:t>
      </w:r>
      <w:r w:rsidRPr="00F2464F">
        <w:rPr>
          <w:rFonts w:ascii="Arial" w:hAnsi="Arial" w:cs="Arial"/>
          <w:b/>
          <w:bCs/>
        </w:rPr>
        <w:t>"Beyond Interoperability — Discussions on CRVS-Health, CRVS-Education"</w:t>
      </w:r>
    </w:p>
    <w:p w14:paraId="49CD13B0" w14:textId="41BC2B76" w:rsidR="00D71A23" w:rsidRPr="00F2464F" w:rsidRDefault="00D71A23" w:rsidP="00D71A23">
      <w:pPr>
        <w:rPr>
          <w:rFonts w:ascii="Arial" w:hAnsi="Arial" w:cs="Arial"/>
          <w:b/>
          <w:bCs/>
        </w:rPr>
      </w:pPr>
      <w:r w:rsidRPr="00F2464F">
        <w:rPr>
          <w:rFonts w:ascii="Arial" w:hAnsi="Arial" w:cs="Arial"/>
          <w:b/>
          <w:bCs/>
        </w:rPr>
        <w:t>1. COUNTRIES PARTICIPATED</w:t>
      </w:r>
    </w:p>
    <w:p w14:paraId="5B79201A" w14:textId="77777777" w:rsidR="00D71A23" w:rsidRPr="00F2464F" w:rsidRDefault="00D71A23" w:rsidP="00D71A23">
      <w:pPr>
        <w:rPr>
          <w:rFonts w:ascii="Arial" w:hAnsi="Arial" w:cs="Arial"/>
        </w:rPr>
      </w:pPr>
      <w:r w:rsidRPr="00F2464F">
        <w:rPr>
          <w:rFonts w:ascii="Arial" w:hAnsi="Arial" w:cs="Arial"/>
        </w:rPr>
        <w:t>Nine countries actively participated in the breakout session: Burundi, The Gambia, Guinea-Bissau, Malawi, Mali, Nigeria, South Africa, Zambia, and Zimbabwe.</w:t>
      </w:r>
    </w:p>
    <w:p w14:paraId="0C217B1C" w14:textId="77777777" w:rsidR="00D71A23" w:rsidRPr="00F2464F" w:rsidRDefault="00D71A23" w:rsidP="00D71A23">
      <w:pPr>
        <w:rPr>
          <w:rFonts w:ascii="Arial" w:hAnsi="Arial" w:cs="Arial"/>
          <w:b/>
          <w:bCs/>
        </w:rPr>
      </w:pPr>
      <w:r w:rsidRPr="00F2464F">
        <w:rPr>
          <w:rFonts w:ascii="Arial" w:hAnsi="Arial" w:cs="Arial"/>
          <w:b/>
          <w:bCs/>
        </w:rPr>
        <w:t>2. KEY DISCUSSION POINTS</w:t>
      </w:r>
    </w:p>
    <w:p w14:paraId="7B7C85A9" w14:textId="77777777" w:rsidR="00D71A23" w:rsidRPr="00F2464F" w:rsidRDefault="00D71A23" w:rsidP="00D71A23">
      <w:pPr>
        <w:rPr>
          <w:rFonts w:ascii="Arial" w:hAnsi="Arial" w:cs="Arial"/>
          <w:b/>
          <w:bCs/>
        </w:rPr>
      </w:pPr>
      <w:r w:rsidRPr="00F2464F">
        <w:rPr>
          <w:rFonts w:ascii="Arial" w:hAnsi="Arial" w:cs="Arial"/>
          <w:b/>
          <w:bCs/>
        </w:rPr>
        <w:t>2.1 Integrating Birth Registration with Health Services</w:t>
      </w:r>
    </w:p>
    <w:p w14:paraId="73208FD7" w14:textId="77777777" w:rsidR="00D71A23" w:rsidRPr="00F2464F" w:rsidRDefault="00D71A23" w:rsidP="00D71A23">
      <w:pPr>
        <w:jc w:val="both"/>
        <w:rPr>
          <w:rFonts w:ascii="Arial" w:hAnsi="Arial" w:cs="Arial"/>
        </w:rPr>
      </w:pPr>
      <w:r w:rsidRPr="00F2464F">
        <w:rPr>
          <w:rFonts w:ascii="Arial" w:hAnsi="Arial" w:cs="Arial"/>
        </w:rPr>
        <w:t>Health facilities were identified as the most effective entry point for registering children aged 0–4 years, as mothers and children regularly access maternity, immunization, and child health services. Participants emphasized that birth notification, registration, and certification should form one continuous process.</w:t>
      </w:r>
    </w:p>
    <w:p w14:paraId="433B173A" w14:textId="77777777" w:rsidR="00D71A23" w:rsidRPr="00F2464F" w:rsidRDefault="00D71A23" w:rsidP="00D71A23">
      <w:pPr>
        <w:jc w:val="both"/>
        <w:rPr>
          <w:rFonts w:ascii="Arial" w:hAnsi="Arial" w:cs="Arial"/>
        </w:rPr>
      </w:pPr>
      <w:r w:rsidRPr="00F2464F">
        <w:rPr>
          <w:rFonts w:ascii="Arial" w:hAnsi="Arial" w:cs="Arial"/>
        </w:rPr>
        <w:t>Countries were encouraged to integrate birth registration into maternity services so that registration is completed before mother and child leave the health facility. Where immediate registration is not possible, birth declaration should be completed at the point of contact by authorized health workers or community officials to reduce repeated visits by parents.</w:t>
      </w:r>
    </w:p>
    <w:p w14:paraId="4CF6EA1B" w14:textId="77777777" w:rsidR="00D71A23" w:rsidRPr="00F2464F" w:rsidRDefault="00D71A23" w:rsidP="00D71A23">
      <w:pPr>
        <w:jc w:val="both"/>
        <w:rPr>
          <w:rFonts w:ascii="Arial" w:hAnsi="Arial" w:cs="Arial"/>
        </w:rPr>
      </w:pPr>
      <w:r w:rsidRPr="00F2464F">
        <w:rPr>
          <w:rFonts w:ascii="Arial" w:hAnsi="Arial" w:cs="Arial"/>
        </w:rPr>
        <w:t>Co-location of civil registration offices within health facilities was recognized as an effective model for improving coverage.</w:t>
      </w:r>
    </w:p>
    <w:p w14:paraId="377FE613" w14:textId="77777777" w:rsidR="00D71A23" w:rsidRPr="00F2464F" w:rsidRDefault="00D71A23" w:rsidP="00D71A23">
      <w:pPr>
        <w:rPr>
          <w:rFonts w:ascii="Arial" w:hAnsi="Arial" w:cs="Arial"/>
          <w:b/>
          <w:bCs/>
        </w:rPr>
      </w:pPr>
      <w:r w:rsidRPr="00F2464F">
        <w:rPr>
          <w:rFonts w:ascii="Arial" w:hAnsi="Arial" w:cs="Arial"/>
          <w:b/>
          <w:bCs/>
        </w:rPr>
        <w:t>2.2 Role of the Education Sector</w:t>
      </w:r>
    </w:p>
    <w:p w14:paraId="40AA3FB1" w14:textId="77777777" w:rsidR="00D71A23" w:rsidRPr="00F2464F" w:rsidRDefault="00D71A23" w:rsidP="00D71A23">
      <w:pPr>
        <w:jc w:val="both"/>
        <w:rPr>
          <w:rFonts w:ascii="Arial" w:hAnsi="Arial" w:cs="Arial"/>
        </w:rPr>
      </w:pPr>
      <w:r w:rsidRPr="00F2464F">
        <w:rPr>
          <w:rFonts w:ascii="Arial" w:hAnsi="Arial" w:cs="Arial"/>
        </w:rPr>
        <w:t>Schools were identified as strategic platforms for identifying unregistered children aged 5–17 years. School enrolment records, student identification numbers, and examination registration systems can be used to identify children without birth certificates.</w:t>
      </w:r>
    </w:p>
    <w:p w14:paraId="5E5A4C81" w14:textId="77777777" w:rsidR="00D71A23" w:rsidRPr="00F2464F" w:rsidRDefault="00D71A23" w:rsidP="00D71A23">
      <w:pPr>
        <w:jc w:val="both"/>
        <w:rPr>
          <w:rFonts w:ascii="Arial" w:hAnsi="Arial" w:cs="Arial"/>
        </w:rPr>
      </w:pPr>
      <w:r w:rsidRPr="00F2464F">
        <w:rPr>
          <w:rFonts w:ascii="Arial" w:hAnsi="Arial" w:cs="Arial"/>
        </w:rPr>
        <w:t>Participants emphasized that schools should refer unregistered children to civil registration offices rather than denying admission. School registration campaigns should be used to clear historical backlogs but should not replace timely birth registration during infancy.</w:t>
      </w:r>
    </w:p>
    <w:p w14:paraId="4935DD96" w14:textId="77777777" w:rsidR="00D71A23" w:rsidRPr="00F2464F" w:rsidRDefault="00D71A23" w:rsidP="00D71A23">
      <w:pPr>
        <w:jc w:val="both"/>
        <w:rPr>
          <w:rFonts w:ascii="Arial" w:hAnsi="Arial" w:cs="Arial"/>
        </w:rPr>
      </w:pPr>
      <w:r w:rsidRPr="00F2464F">
        <w:rPr>
          <w:rFonts w:ascii="Arial" w:hAnsi="Arial" w:cs="Arial"/>
        </w:rPr>
        <w:t>Teachers can assist by distributing declaration forms, verifying learner information, and supporting referrals to registration offices.</w:t>
      </w:r>
    </w:p>
    <w:p w14:paraId="32828C79" w14:textId="77777777" w:rsidR="00D71A23" w:rsidRPr="00F2464F" w:rsidRDefault="00D71A23" w:rsidP="00D71A23">
      <w:pPr>
        <w:rPr>
          <w:rFonts w:ascii="Arial" w:hAnsi="Arial" w:cs="Arial"/>
          <w:b/>
          <w:bCs/>
        </w:rPr>
      </w:pPr>
      <w:r w:rsidRPr="00F2464F">
        <w:rPr>
          <w:rFonts w:ascii="Arial" w:hAnsi="Arial" w:cs="Arial"/>
          <w:b/>
          <w:bCs/>
        </w:rPr>
        <w:t>2.3 Interoperability and Data Sharing</w:t>
      </w:r>
    </w:p>
    <w:p w14:paraId="5553D4A6" w14:textId="77777777" w:rsidR="00D71A23" w:rsidRPr="00F2464F" w:rsidRDefault="00D71A23" w:rsidP="00F2464F">
      <w:pPr>
        <w:jc w:val="both"/>
        <w:rPr>
          <w:rFonts w:ascii="Arial" w:hAnsi="Arial" w:cs="Arial"/>
        </w:rPr>
      </w:pPr>
      <w:r w:rsidRPr="00F2464F">
        <w:rPr>
          <w:rFonts w:ascii="Arial" w:hAnsi="Arial" w:cs="Arial"/>
        </w:rPr>
        <w:t>Participants discussed the need for common national data standards to enable information sharing between CRVS, health, education, social protection, and national identification systems.</w:t>
      </w:r>
    </w:p>
    <w:p w14:paraId="0C11C437" w14:textId="77777777" w:rsidR="00D71A23" w:rsidRPr="00F2464F" w:rsidRDefault="00D71A23" w:rsidP="00F2464F">
      <w:pPr>
        <w:jc w:val="both"/>
        <w:rPr>
          <w:rFonts w:ascii="Arial" w:hAnsi="Arial" w:cs="Arial"/>
        </w:rPr>
      </w:pPr>
      <w:r w:rsidRPr="00F2464F">
        <w:rPr>
          <w:rFonts w:ascii="Arial" w:hAnsi="Arial" w:cs="Arial"/>
        </w:rPr>
        <w:t>Major challenges identified included:</w:t>
      </w:r>
    </w:p>
    <w:p w14:paraId="20A138A4" w14:textId="77777777" w:rsidR="00D71A23" w:rsidRPr="00F2464F" w:rsidRDefault="00D71A23" w:rsidP="00F2464F">
      <w:pPr>
        <w:numPr>
          <w:ilvl w:val="0"/>
          <w:numId w:val="1"/>
        </w:numPr>
        <w:jc w:val="both"/>
        <w:rPr>
          <w:rFonts w:ascii="Arial" w:hAnsi="Arial" w:cs="Arial"/>
        </w:rPr>
      </w:pPr>
      <w:r w:rsidRPr="00F2464F">
        <w:rPr>
          <w:rFonts w:ascii="Arial" w:hAnsi="Arial" w:cs="Arial"/>
        </w:rPr>
        <w:t>Lack of national data standards</w:t>
      </w:r>
    </w:p>
    <w:p w14:paraId="6406AA11" w14:textId="77777777" w:rsidR="00D71A23" w:rsidRPr="00F2464F" w:rsidRDefault="00D71A23" w:rsidP="00F2464F">
      <w:pPr>
        <w:numPr>
          <w:ilvl w:val="0"/>
          <w:numId w:val="1"/>
        </w:numPr>
        <w:jc w:val="both"/>
        <w:rPr>
          <w:rFonts w:ascii="Arial" w:hAnsi="Arial" w:cs="Arial"/>
        </w:rPr>
      </w:pPr>
      <w:r w:rsidRPr="00F2464F">
        <w:rPr>
          <w:rFonts w:ascii="Arial" w:hAnsi="Arial" w:cs="Arial"/>
        </w:rPr>
        <w:t>Inconsistent coding systems</w:t>
      </w:r>
    </w:p>
    <w:p w14:paraId="6EB73ABF" w14:textId="77777777" w:rsidR="00D71A23" w:rsidRPr="00F2464F" w:rsidRDefault="00D71A23" w:rsidP="00F2464F">
      <w:pPr>
        <w:numPr>
          <w:ilvl w:val="0"/>
          <w:numId w:val="1"/>
        </w:numPr>
        <w:jc w:val="both"/>
        <w:rPr>
          <w:rFonts w:ascii="Arial" w:hAnsi="Arial" w:cs="Arial"/>
        </w:rPr>
      </w:pPr>
      <w:r w:rsidRPr="00F2464F">
        <w:rPr>
          <w:rFonts w:ascii="Arial" w:hAnsi="Arial" w:cs="Arial"/>
        </w:rPr>
        <w:t>Weak legal frameworks</w:t>
      </w:r>
    </w:p>
    <w:p w14:paraId="065592CC" w14:textId="77777777" w:rsidR="00D71A23" w:rsidRPr="00F2464F" w:rsidRDefault="00D71A23" w:rsidP="00F2464F">
      <w:pPr>
        <w:numPr>
          <w:ilvl w:val="0"/>
          <w:numId w:val="1"/>
        </w:numPr>
        <w:jc w:val="both"/>
        <w:rPr>
          <w:rFonts w:ascii="Arial" w:hAnsi="Arial" w:cs="Arial"/>
        </w:rPr>
      </w:pPr>
      <w:r w:rsidRPr="00F2464F">
        <w:rPr>
          <w:rFonts w:ascii="Arial" w:hAnsi="Arial" w:cs="Arial"/>
        </w:rPr>
        <w:t>Limited institutional coordination</w:t>
      </w:r>
    </w:p>
    <w:p w14:paraId="1BED54AF" w14:textId="77777777" w:rsidR="00D71A23" w:rsidRPr="00F2464F" w:rsidRDefault="00D71A23" w:rsidP="00F2464F">
      <w:pPr>
        <w:numPr>
          <w:ilvl w:val="0"/>
          <w:numId w:val="1"/>
        </w:numPr>
        <w:jc w:val="both"/>
        <w:rPr>
          <w:rFonts w:ascii="Arial" w:hAnsi="Arial" w:cs="Arial"/>
        </w:rPr>
      </w:pPr>
      <w:r w:rsidRPr="00F2464F">
        <w:rPr>
          <w:rFonts w:ascii="Arial" w:hAnsi="Arial" w:cs="Arial"/>
        </w:rPr>
        <w:t>Absence of comprehensive data-sharing agreements</w:t>
      </w:r>
    </w:p>
    <w:p w14:paraId="7AD6765E" w14:textId="77777777" w:rsidR="00D71A23" w:rsidRPr="00F2464F" w:rsidRDefault="00D71A23" w:rsidP="00F2464F">
      <w:pPr>
        <w:jc w:val="both"/>
        <w:rPr>
          <w:rFonts w:ascii="Arial" w:hAnsi="Arial" w:cs="Arial"/>
        </w:rPr>
      </w:pPr>
      <w:r w:rsidRPr="00F2464F">
        <w:rPr>
          <w:rFonts w:ascii="Arial" w:hAnsi="Arial" w:cs="Arial"/>
        </w:rPr>
        <w:lastRenderedPageBreak/>
        <w:t>Participants agreed that interoperability requires strong governance, legal frameworks, agreed standards, and institutional commitment rather than technology alone.</w:t>
      </w:r>
    </w:p>
    <w:p w14:paraId="1087E837" w14:textId="77777777" w:rsidR="00D71A23" w:rsidRPr="00F2464F" w:rsidRDefault="00D71A23" w:rsidP="00D71A23">
      <w:pPr>
        <w:rPr>
          <w:rFonts w:ascii="Arial" w:hAnsi="Arial" w:cs="Arial"/>
          <w:b/>
          <w:bCs/>
        </w:rPr>
      </w:pPr>
      <w:r w:rsidRPr="00F2464F">
        <w:rPr>
          <w:rFonts w:ascii="Arial" w:hAnsi="Arial" w:cs="Arial"/>
          <w:b/>
          <w:bCs/>
        </w:rPr>
        <w:t>2.4 Governance and Institutional Coordination</w:t>
      </w:r>
    </w:p>
    <w:p w14:paraId="48E44765" w14:textId="77777777" w:rsidR="00D71A23" w:rsidRPr="00F2464F" w:rsidRDefault="00D71A23" w:rsidP="00F2464F">
      <w:pPr>
        <w:jc w:val="both"/>
        <w:rPr>
          <w:rFonts w:ascii="Arial" w:hAnsi="Arial" w:cs="Arial"/>
        </w:rPr>
      </w:pPr>
      <w:r w:rsidRPr="00F2464F">
        <w:rPr>
          <w:rFonts w:ascii="Arial" w:hAnsi="Arial" w:cs="Arial"/>
        </w:rPr>
        <w:t>Several countries have established multi-sectoral CRVS committees involving health, education, civil registration, social protection, and civil society. However, participants noted that many committees lack effective follow-up mechanisms and accountability for implementation.</w:t>
      </w:r>
    </w:p>
    <w:p w14:paraId="7893B71E" w14:textId="77777777" w:rsidR="00D71A23" w:rsidRPr="00F2464F" w:rsidRDefault="00D71A23" w:rsidP="00F2464F">
      <w:pPr>
        <w:jc w:val="both"/>
        <w:rPr>
          <w:rFonts w:ascii="Arial" w:hAnsi="Arial" w:cs="Arial"/>
        </w:rPr>
      </w:pPr>
      <w:r w:rsidRPr="00F2464F">
        <w:rPr>
          <w:rFonts w:ascii="Arial" w:hAnsi="Arial" w:cs="Arial"/>
        </w:rPr>
        <w:t>Technical working groups and Memoranda of Understanding (MOUs) were highlighted as useful mechanisms for strengthening collaboration across institutions.</w:t>
      </w:r>
    </w:p>
    <w:p w14:paraId="55E4FA66" w14:textId="77777777" w:rsidR="00D71A23" w:rsidRPr="00F2464F" w:rsidRDefault="00D71A23" w:rsidP="00F2464F">
      <w:pPr>
        <w:jc w:val="both"/>
        <w:rPr>
          <w:rFonts w:ascii="Arial" w:hAnsi="Arial" w:cs="Arial"/>
          <w:b/>
          <w:bCs/>
        </w:rPr>
      </w:pPr>
      <w:r w:rsidRPr="00F2464F">
        <w:rPr>
          <w:rFonts w:ascii="Arial" w:hAnsi="Arial" w:cs="Arial"/>
          <w:b/>
          <w:bCs/>
        </w:rPr>
        <w:t>2.5 Integration Challenges</w:t>
      </w:r>
    </w:p>
    <w:p w14:paraId="4C6708AD" w14:textId="77777777" w:rsidR="00D71A23" w:rsidRPr="00F2464F" w:rsidRDefault="00D71A23" w:rsidP="00F2464F">
      <w:pPr>
        <w:jc w:val="both"/>
        <w:rPr>
          <w:rFonts w:ascii="Arial" w:hAnsi="Arial" w:cs="Arial"/>
        </w:rPr>
      </w:pPr>
      <w:r w:rsidRPr="00F2464F">
        <w:rPr>
          <w:rFonts w:ascii="Arial" w:hAnsi="Arial" w:cs="Arial"/>
        </w:rPr>
        <w:t>Participants identified the following barriers to CRVS integration:</w:t>
      </w:r>
    </w:p>
    <w:p w14:paraId="27C4A4B9" w14:textId="77777777" w:rsidR="00D71A23" w:rsidRPr="00F2464F" w:rsidRDefault="00D71A23" w:rsidP="00F2464F">
      <w:pPr>
        <w:numPr>
          <w:ilvl w:val="0"/>
          <w:numId w:val="2"/>
        </w:numPr>
        <w:jc w:val="both"/>
        <w:rPr>
          <w:rFonts w:ascii="Arial" w:hAnsi="Arial" w:cs="Arial"/>
        </w:rPr>
      </w:pPr>
      <w:r w:rsidRPr="00F2464F">
        <w:rPr>
          <w:rFonts w:ascii="Arial" w:hAnsi="Arial" w:cs="Arial"/>
        </w:rPr>
        <w:t>Weak communication and collaboration between government sectors</w:t>
      </w:r>
    </w:p>
    <w:p w14:paraId="3DF018CF" w14:textId="77777777" w:rsidR="00D71A23" w:rsidRPr="00F2464F" w:rsidRDefault="00D71A23" w:rsidP="00F2464F">
      <w:pPr>
        <w:numPr>
          <w:ilvl w:val="0"/>
          <w:numId w:val="2"/>
        </w:numPr>
        <w:jc w:val="both"/>
        <w:rPr>
          <w:rFonts w:ascii="Arial" w:hAnsi="Arial" w:cs="Arial"/>
        </w:rPr>
      </w:pPr>
      <w:r w:rsidRPr="00F2464F">
        <w:rPr>
          <w:rFonts w:ascii="Arial" w:hAnsi="Arial" w:cs="Arial"/>
        </w:rPr>
        <w:t>Limited appreciation of the benefits of integrated systems</w:t>
      </w:r>
    </w:p>
    <w:p w14:paraId="3EF4A19B" w14:textId="77777777" w:rsidR="00D71A23" w:rsidRPr="00F2464F" w:rsidRDefault="00D71A23" w:rsidP="00F2464F">
      <w:pPr>
        <w:numPr>
          <w:ilvl w:val="0"/>
          <w:numId w:val="2"/>
        </w:numPr>
        <w:jc w:val="both"/>
        <w:rPr>
          <w:rFonts w:ascii="Arial" w:hAnsi="Arial" w:cs="Arial"/>
        </w:rPr>
      </w:pPr>
      <w:r w:rsidRPr="00F2464F">
        <w:rPr>
          <w:rFonts w:ascii="Arial" w:hAnsi="Arial" w:cs="Arial"/>
        </w:rPr>
        <w:t>Lack of policy and legal frameworks supporting interoperability</w:t>
      </w:r>
    </w:p>
    <w:p w14:paraId="49E87A12" w14:textId="77777777" w:rsidR="00D71A23" w:rsidRPr="00F2464F" w:rsidRDefault="00D71A23" w:rsidP="00F2464F">
      <w:pPr>
        <w:numPr>
          <w:ilvl w:val="0"/>
          <w:numId w:val="2"/>
        </w:numPr>
        <w:jc w:val="both"/>
        <w:rPr>
          <w:rFonts w:ascii="Arial" w:hAnsi="Arial" w:cs="Arial"/>
        </w:rPr>
      </w:pPr>
      <w:r w:rsidRPr="00F2464F">
        <w:rPr>
          <w:rFonts w:ascii="Arial" w:hAnsi="Arial" w:cs="Arial"/>
        </w:rPr>
        <w:t>Conflicting institutional mandates</w:t>
      </w:r>
    </w:p>
    <w:p w14:paraId="769FD84E" w14:textId="77777777" w:rsidR="00D71A23" w:rsidRPr="00F2464F" w:rsidRDefault="00D71A23" w:rsidP="00F2464F">
      <w:pPr>
        <w:numPr>
          <w:ilvl w:val="0"/>
          <w:numId w:val="2"/>
        </w:numPr>
        <w:jc w:val="both"/>
        <w:rPr>
          <w:rFonts w:ascii="Arial" w:hAnsi="Arial" w:cs="Arial"/>
        </w:rPr>
      </w:pPr>
      <w:r w:rsidRPr="00F2464F">
        <w:rPr>
          <w:rFonts w:ascii="Arial" w:hAnsi="Arial" w:cs="Arial"/>
        </w:rPr>
        <w:t>Weak accountability mechanisms</w:t>
      </w:r>
    </w:p>
    <w:p w14:paraId="6D3A2B62" w14:textId="77777777" w:rsidR="00D71A23" w:rsidRPr="00F2464F" w:rsidRDefault="00D71A23" w:rsidP="00F2464F">
      <w:pPr>
        <w:numPr>
          <w:ilvl w:val="0"/>
          <w:numId w:val="2"/>
        </w:numPr>
        <w:jc w:val="both"/>
        <w:rPr>
          <w:rFonts w:ascii="Arial" w:hAnsi="Arial" w:cs="Arial"/>
        </w:rPr>
      </w:pPr>
      <w:r w:rsidRPr="00F2464F">
        <w:rPr>
          <w:rFonts w:ascii="Arial" w:hAnsi="Arial" w:cs="Arial"/>
        </w:rPr>
        <w:t>Limited implementation of unique identification systems</w:t>
      </w:r>
    </w:p>
    <w:p w14:paraId="6B9F42F6" w14:textId="6C2160D3" w:rsidR="00D71A23" w:rsidRPr="00F2464F" w:rsidRDefault="00D71A23" w:rsidP="00D71A23">
      <w:pPr>
        <w:rPr>
          <w:rFonts w:ascii="Arial" w:hAnsi="Arial" w:cs="Arial"/>
        </w:rPr>
      </w:pPr>
    </w:p>
    <w:p w14:paraId="57D8DB04" w14:textId="77777777" w:rsidR="00D71A23" w:rsidRPr="00F2464F" w:rsidRDefault="00D71A23" w:rsidP="00D71A23">
      <w:pPr>
        <w:rPr>
          <w:rFonts w:ascii="Arial" w:hAnsi="Arial" w:cs="Arial"/>
          <w:b/>
          <w:bCs/>
        </w:rPr>
      </w:pPr>
      <w:r w:rsidRPr="00F2464F">
        <w:rPr>
          <w:rFonts w:ascii="Arial" w:hAnsi="Arial" w:cs="Arial"/>
          <w:b/>
          <w:bCs/>
        </w:rPr>
        <w:t>3. RECOMMENDATIONS</w:t>
      </w:r>
    </w:p>
    <w:p w14:paraId="355707D6" w14:textId="77777777" w:rsidR="00D71A23" w:rsidRPr="00F2464F" w:rsidRDefault="00D71A23" w:rsidP="00D71A23">
      <w:pPr>
        <w:rPr>
          <w:rFonts w:ascii="Arial" w:hAnsi="Arial" w:cs="Arial"/>
          <w:b/>
          <w:bCs/>
        </w:rPr>
      </w:pPr>
      <w:r w:rsidRPr="00F2464F">
        <w:rPr>
          <w:rFonts w:ascii="Arial" w:hAnsi="Arial" w:cs="Arial"/>
          <w:b/>
          <w:bCs/>
        </w:rPr>
        <w:t>3.1 Health Sector Recommendations</w:t>
      </w:r>
    </w:p>
    <w:p w14:paraId="66D47F59" w14:textId="77777777" w:rsidR="00D71A23" w:rsidRPr="00F2464F" w:rsidRDefault="00D71A23" w:rsidP="00D71A23">
      <w:pPr>
        <w:rPr>
          <w:rFonts w:ascii="Arial" w:hAnsi="Arial" w:cs="Arial"/>
        </w:rPr>
      </w:pPr>
      <w:r w:rsidRPr="00F2464F">
        <w:rPr>
          <w:rFonts w:ascii="Arial" w:hAnsi="Arial" w:cs="Arial"/>
          <w:b/>
          <w:bCs/>
        </w:rPr>
        <w:t>Recommendation 1: Integrate Birth Notification, Registration, and Certification into Maternity and Child Health Services.</w:t>
      </w:r>
    </w:p>
    <w:p w14:paraId="012654AC" w14:textId="77777777" w:rsidR="00D71A23" w:rsidRPr="00F2464F" w:rsidRDefault="00D71A23" w:rsidP="00D71A23">
      <w:pPr>
        <w:rPr>
          <w:rFonts w:ascii="Arial" w:hAnsi="Arial" w:cs="Arial"/>
        </w:rPr>
      </w:pPr>
      <w:r w:rsidRPr="00F2464F">
        <w:rPr>
          <w:rFonts w:ascii="Arial" w:hAnsi="Arial" w:cs="Arial"/>
        </w:rPr>
        <w:t>Countries should ensure that registration is completed before mother and child leave health facilities, making it a seamless and continuous process.</w:t>
      </w:r>
    </w:p>
    <w:p w14:paraId="368B0E12" w14:textId="77777777" w:rsidR="00D71A23" w:rsidRPr="00F2464F" w:rsidRDefault="00D71A23" w:rsidP="00D71A23">
      <w:pPr>
        <w:rPr>
          <w:rFonts w:ascii="Arial" w:hAnsi="Arial" w:cs="Arial"/>
        </w:rPr>
      </w:pPr>
      <w:r w:rsidRPr="00F2464F">
        <w:rPr>
          <w:rFonts w:ascii="Arial" w:hAnsi="Arial" w:cs="Arial"/>
          <w:b/>
          <w:bCs/>
        </w:rPr>
        <w:t>Recommendation 2: Expand Co-Location of Civil Registration Services within Health Facilities.</w:t>
      </w:r>
    </w:p>
    <w:p w14:paraId="0FA79C3D" w14:textId="77777777" w:rsidR="00D71A23" w:rsidRPr="00F2464F" w:rsidRDefault="00D71A23" w:rsidP="00D71A23">
      <w:pPr>
        <w:rPr>
          <w:rFonts w:ascii="Arial" w:hAnsi="Arial" w:cs="Arial"/>
        </w:rPr>
      </w:pPr>
      <w:r w:rsidRPr="00F2464F">
        <w:rPr>
          <w:rFonts w:ascii="Arial" w:hAnsi="Arial" w:cs="Arial"/>
        </w:rPr>
        <w:t>This model has been proven effective in improving coverage and should be scaled up across all health facilities.</w:t>
      </w:r>
    </w:p>
    <w:p w14:paraId="2C218AFB" w14:textId="77777777" w:rsidR="00D71A23" w:rsidRPr="00F2464F" w:rsidRDefault="00D71A23" w:rsidP="00D71A23">
      <w:pPr>
        <w:rPr>
          <w:rFonts w:ascii="Arial" w:hAnsi="Arial" w:cs="Arial"/>
        </w:rPr>
      </w:pPr>
      <w:r w:rsidRPr="00F2464F">
        <w:rPr>
          <w:rFonts w:ascii="Arial" w:hAnsi="Arial" w:cs="Arial"/>
          <w:b/>
          <w:bCs/>
        </w:rPr>
        <w:t>Recommendation 3: Authorize Health Workers to Complete Birth Declarations.</w:t>
      </w:r>
    </w:p>
    <w:p w14:paraId="1DDD8937" w14:textId="77777777" w:rsidR="00D71A23" w:rsidRPr="00F2464F" w:rsidRDefault="00D71A23" w:rsidP="00D71A23">
      <w:pPr>
        <w:rPr>
          <w:rFonts w:ascii="Arial" w:hAnsi="Arial" w:cs="Arial"/>
        </w:rPr>
      </w:pPr>
      <w:r w:rsidRPr="00F2464F">
        <w:rPr>
          <w:rFonts w:ascii="Arial" w:hAnsi="Arial" w:cs="Arial"/>
        </w:rPr>
        <w:t>Where legislation permits, health workers should be authorized to complete birth declarations at the point of contact, reducing repeated visits by parents.</w:t>
      </w:r>
    </w:p>
    <w:p w14:paraId="56E5C823" w14:textId="77777777" w:rsidR="00D71A23" w:rsidRPr="00F2464F" w:rsidRDefault="00D71A23" w:rsidP="00D71A23">
      <w:pPr>
        <w:rPr>
          <w:rFonts w:ascii="Arial" w:hAnsi="Arial" w:cs="Arial"/>
        </w:rPr>
      </w:pPr>
      <w:r w:rsidRPr="00F2464F">
        <w:rPr>
          <w:rFonts w:ascii="Arial" w:hAnsi="Arial" w:cs="Arial"/>
          <w:b/>
          <w:bCs/>
        </w:rPr>
        <w:t>Recommendation 4: Digitalize Medical Birth Notification Forms.</w:t>
      </w:r>
    </w:p>
    <w:p w14:paraId="483BD9A8" w14:textId="77777777" w:rsidR="00D71A23" w:rsidRPr="00F2464F" w:rsidRDefault="00D71A23" w:rsidP="00D71A23">
      <w:pPr>
        <w:rPr>
          <w:rFonts w:ascii="Arial" w:hAnsi="Arial" w:cs="Arial"/>
        </w:rPr>
      </w:pPr>
      <w:r w:rsidRPr="00F2464F">
        <w:rPr>
          <w:rFonts w:ascii="Arial" w:hAnsi="Arial" w:cs="Arial"/>
        </w:rPr>
        <w:t>Electronic transfer of information to civil registration authorities should be enabled through digitalization of notification forms.</w:t>
      </w:r>
    </w:p>
    <w:p w14:paraId="3B19CDEF" w14:textId="77777777" w:rsidR="00D71A23" w:rsidRPr="00F2464F" w:rsidRDefault="00D71A23" w:rsidP="00D71A23">
      <w:pPr>
        <w:rPr>
          <w:rFonts w:ascii="Arial" w:hAnsi="Arial" w:cs="Arial"/>
        </w:rPr>
      </w:pPr>
      <w:r w:rsidRPr="00F2464F">
        <w:rPr>
          <w:rFonts w:ascii="Arial" w:hAnsi="Arial" w:cs="Arial"/>
          <w:b/>
          <w:bCs/>
        </w:rPr>
        <w:t>Recommendation 5: Include CRVS Modules in Training Curricula for Health Professionals.</w:t>
      </w:r>
    </w:p>
    <w:p w14:paraId="67FE23BC" w14:textId="77777777" w:rsidR="00D71A23" w:rsidRPr="00F2464F" w:rsidRDefault="00D71A23" w:rsidP="00D71A23">
      <w:pPr>
        <w:rPr>
          <w:rFonts w:ascii="Arial" w:hAnsi="Arial" w:cs="Arial"/>
        </w:rPr>
      </w:pPr>
      <w:r w:rsidRPr="00F2464F">
        <w:rPr>
          <w:rFonts w:ascii="Arial" w:hAnsi="Arial" w:cs="Arial"/>
        </w:rPr>
        <w:lastRenderedPageBreak/>
        <w:t>Pre-service and in-service training curricula should incorporate CRVS modules to build capacity among health workers.</w:t>
      </w:r>
    </w:p>
    <w:p w14:paraId="1BADE24E" w14:textId="77777777" w:rsidR="00D71A23" w:rsidRPr="00F2464F" w:rsidRDefault="00D71A23" w:rsidP="00D71A23">
      <w:pPr>
        <w:rPr>
          <w:rFonts w:ascii="Arial" w:hAnsi="Arial" w:cs="Arial"/>
        </w:rPr>
      </w:pPr>
      <w:r w:rsidRPr="00F2464F">
        <w:rPr>
          <w:rFonts w:ascii="Arial" w:hAnsi="Arial" w:cs="Arial"/>
          <w:b/>
          <w:bCs/>
        </w:rPr>
        <w:t>Recommendation 6: Strengthen Community-Based Death Notification Systems.</w:t>
      </w:r>
    </w:p>
    <w:p w14:paraId="78CF793D" w14:textId="77777777" w:rsidR="00D71A23" w:rsidRPr="00F2464F" w:rsidRDefault="00D71A23" w:rsidP="00D71A23">
      <w:pPr>
        <w:rPr>
          <w:rFonts w:ascii="Arial" w:hAnsi="Arial" w:cs="Arial"/>
        </w:rPr>
      </w:pPr>
      <w:r w:rsidRPr="00F2464F">
        <w:rPr>
          <w:rFonts w:ascii="Arial" w:hAnsi="Arial" w:cs="Arial"/>
        </w:rPr>
        <w:t>Community health workers and village leaders should be engaged to strengthen death notification systems at the community level.</w:t>
      </w:r>
    </w:p>
    <w:p w14:paraId="4A6B0E1F" w14:textId="578C823A" w:rsidR="00D71A23" w:rsidRPr="00F2464F" w:rsidRDefault="00D71A23" w:rsidP="00D71A23">
      <w:pPr>
        <w:rPr>
          <w:rFonts w:ascii="Arial" w:hAnsi="Arial" w:cs="Arial"/>
        </w:rPr>
      </w:pPr>
    </w:p>
    <w:p w14:paraId="0809A9EF" w14:textId="77777777" w:rsidR="00D71A23" w:rsidRPr="00F2464F" w:rsidRDefault="00D71A23" w:rsidP="00D71A23">
      <w:pPr>
        <w:rPr>
          <w:rFonts w:ascii="Arial" w:hAnsi="Arial" w:cs="Arial"/>
          <w:b/>
          <w:bCs/>
        </w:rPr>
      </w:pPr>
      <w:r w:rsidRPr="00F2464F">
        <w:rPr>
          <w:rFonts w:ascii="Arial" w:hAnsi="Arial" w:cs="Arial"/>
          <w:b/>
          <w:bCs/>
        </w:rPr>
        <w:t>3.2 Education Sector Recommendations</w:t>
      </w:r>
    </w:p>
    <w:p w14:paraId="75C8F429" w14:textId="77777777" w:rsidR="00D71A23" w:rsidRPr="00F2464F" w:rsidRDefault="00D71A23" w:rsidP="00D71A23">
      <w:pPr>
        <w:rPr>
          <w:rFonts w:ascii="Arial" w:hAnsi="Arial" w:cs="Arial"/>
        </w:rPr>
      </w:pPr>
      <w:r w:rsidRPr="00F2464F">
        <w:rPr>
          <w:rFonts w:ascii="Arial" w:hAnsi="Arial" w:cs="Arial"/>
          <w:b/>
          <w:bCs/>
        </w:rPr>
        <w:t>Recommendation 7: Use Schools to Identify and Refer Unregistered Children.</w:t>
      </w:r>
    </w:p>
    <w:p w14:paraId="394BCDE5" w14:textId="77777777" w:rsidR="00D71A23" w:rsidRPr="00F2464F" w:rsidRDefault="00D71A23" w:rsidP="00D71A23">
      <w:pPr>
        <w:rPr>
          <w:rFonts w:ascii="Arial" w:hAnsi="Arial" w:cs="Arial"/>
        </w:rPr>
      </w:pPr>
      <w:r w:rsidRPr="00F2464F">
        <w:rPr>
          <w:rFonts w:ascii="Arial" w:hAnsi="Arial" w:cs="Arial"/>
        </w:rPr>
        <w:t>School enrolment records, student identification numbers, and examination registration systems should be used to identify children without birth certificates.</w:t>
      </w:r>
    </w:p>
    <w:p w14:paraId="2C268D8E" w14:textId="77777777" w:rsidR="00D71A23" w:rsidRPr="00F2464F" w:rsidRDefault="00D71A23" w:rsidP="00D71A23">
      <w:pPr>
        <w:rPr>
          <w:rFonts w:ascii="Arial" w:hAnsi="Arial" w:cs="Arial"/>
        </w:rPr>
      </w:pPr>
      <w:r w:rsidRPr="00F2464F">
        <w:rPr>
          <w:rFonts w:ascii="Arial" w:hAnsi="Arial" w:cs="Arial"/>
          <w:b/>
          <w:bCs/>
        </w:rPr>
        <w:t>Recommendation 8: Ensure No Child Is Denied Access to Education.</w:t>
      </w:r>
    </w:p>
    <w:p w14:paraId="5E113F60" w14:textId="77777777" w:rsidR="00D71A23" w:rsidRPr="00F2464F" w:rsidRDefault="00D71A23" w:rsidP="00D71A23">
      <w:pPr>
        <w:rPr>
          <w:rFonts w:ascii="Arial" w:hAnsi="Arial" w:cs="Arial"/>
        </w:rPr>
      </w:pPr>
      <w:r w:rsidRPr="00F2464F">
        <w:rPr>
          <w:rFonts w:ascii="Arial" w:hAnsi="Arial" w:cs="Arial"/>
        </w:rPr>
        <w:t>Schools should refer unregistered children to civil registration offices rather than denying admission.</w:t>
      </w:r>
    </w:p>
    <w:p w14:paraId="56B927F4" w14:textId="77777777" w:rsidR="00D71A23" w:rsidRPr="00F2464F" w:rsidRDefault="00D71A23" w:rsidP="00D71A23">
      <w:pPr>
        <w:rPr>
          <w:rFonts w:ascii="Arial" w:hAnsi="Arial" w:cs="Arial"/>
        </w:rPr>
      </w:pPr>
      <w:r w:rsidRPr="00F2464F">
        <w:rPr>
          <w:rFonts w:ascii="Arial" w:hAnsi="Arial" w:cs="Arial"/>
          <w:b/>
          <w:bCs/>
        </w:rPr>
        <w:t>Recommendation 9: Conduct Time-Bound School-Based Registration Campaigns.</w:t>
      </w:r>
    </w:p>
    <w:p w14:paraId="183EB2EE" w14:textId="77777777" w:rsidR="00D71A23" w:rsidRPr="00F2464F" w:rsidRDefault="00D71A23" w:rsidP="00D71A23">
      <w:pPr>
        <w:rPr>
          <w:rFonts w:ascii="Arial" w:hAnsi="Arial" w:cs="Arial"/>
        </w:rPr>
      </w:pPr>
      <w:r w:rsidRPr="00F2464F">
        <w:rPr>
          <w:rFonts w:ascii="Arial" w:hAnsi="Arial" w:cs="Arial"/>
        </w:rPr>
        <w:t>Schools should be used to clear existing registration backlogs while simultaneously improving routine birth registration to prevent new backlogs.</w:t>
      </w:r>
    </w:p>
    <w:p w14:paraId="38630E88" w14:textId="77777777" w:rsidR="00D71A23" w:rsidRPr="00F2464F" w:rsidRDefault="00D71A23" w:rsidP="00D71A23">
      <w:pPr>
        <w:rPr>
          <w:rFonts w:ascii="Arial" w:hAnsi="Arial" w:cs="Arial"/>
        </w:rPr>
      </w:pPr>
      <w:r w:rsidRPr="00F2464F">
        <w:rPr>
          <w:rFonts w:ascii="Arial" w:hAnsi="Arial" w:cs="Arial"/>
          <w:b/>
          <w:bCs/>
        </w:rPr>
        <w:t>Recommendation 10: Empower Teachers to Support Registration.</w:t>
      </w:r>
    </w:p>
    <w:p w14:paraId="4B31487A" w14:textId="77777777" w:rsidR="00D71A23" w:rsidRPr="00F2464F" w:rsidRDefault="00D71A23" w:rsidP="00D71A23">
      <w:pPr>
        <w:rPr>
          <w:rFonts w:ascii="Arial" w:hAnsi="Arial" w:cs="Arial"/>
        </w:rPr>
      </w:pPr>
      <w:r w:rsidRPr="00F2464F">
        <w:rPr>
          <w:rFonts w:ascii="Arial" w:hAnsi="Arial" w:cs="Arial"/>
        </w:rPr>
        <w:t>Teachers should be enabled to distribute declaration forms, verify information, and facilitate registration referrals.</w:t>
      </w:r>
    </w:p>
    <w:p w14:paraId="3CB65EB1" w14:textId="446CC369" w:rsidR="00D71A23" w:rsidRPr="00F2464F" w:rsidRDefault="00D71A23" w:rsidP="00D71A23">
      <w:pPr>
        <w:rPr>
          <w:rFonts w:ascii="Arial" w:hAnsi="Arial" w:cs="Arial"/>
        </w:rPr>
      </w:pPr>
    </w:p>
    <w:p w14:paraId="3B5B7522" w14:textId="77777777" w:rsidR="00D71A23" w:rsidRPr="00F2464F" w:rsidRDefault="00D71A23" w:rsidP="00D71A23">
      <w:pPr>
        <w:rPr>
          <w:rFonts w:ascii="Arial" w:hAnsi="Arial" w:cs="Arial"/>
          <w:b/>
          <w:bCs/>
        </w:rPr>
      </w:pPr>
      <w:r w:rsidRPr="00F2464F">
        <w:rPr>
          <w:rFonts w:ascii="Arial" w:hAnsi="Arial" w:cs="Arial"/>
          <w:b/>
          <w:bCs/>
        </w:rPr>
        <w:t>3.3 Interoperability and Governance Recommendations</w:t>
      </w:r>
    </w:p>
    <w:p w14:paraId="3EA9621B" w14:textId="77777777" w:rsidR="00D71A23" w:rsidRPr="00F2464F" w:rsidRDefault="00D71A23" w:rsidP="00D71A23">
      <w:pPr>
        <w:rPr>
          <w:rFonts w:ascii="Arial" w:hAnsi="Arial" w:cs="Arial"/>
        </w:rPr>
      </w:pPr>
      <w:r w:rsidRPr="00F2464F">
        <w:rPr>
          <w:rFonts w:ascii="Arial" w:hAnsi="Arial" w:cs="Arial"/>
          <w:b/>
          <w:bCs/>
        </w:rPr>
        <w:t>Recommendation 11: Develop National Interoperability Frameworks and Harmonized Data Standards.</w:t>
      </w:r>
    </w:p>
    <w:p w14:paraId="03258DF7" w14:textId="77777777" w:rsidR="00D71A23" w:rsidRPr="00F2464F" w:rsidRDefault="00D71A23" w:rsidP="00D71A23">
      <w:pPr>
        <w:rPr>
          <w:rFonts w:ascii="Arial" w:hAnsi="Arial" w:cs="Arial"/>
        </w:rPr>
      </w:pPr>
      <w:r w:rsidRPr="00F2464F">
        <w:rPr>
          <w:rFonts w:ascii="Arial" w:hAnsi="Arial" w:cs="Arial"/>
        </w:rPr>
        <w:t>Countries should establish common national data standards to enable information sharing across CRVS, health, education, social protection, and national identification systems.</w:t>
      </w:r>
    </w:p>
    <w:p w14:paraId="52C3DC46" w14:textId="77777777" w:rsidR="00D71A23" w:rsidRPr="00F2464F" w:rsidRDefault="00D71A23" w:rsidP="00D71A23">
      <w:pPr>
        <w:rPr>
          <w:rFonts w:ascii="Arial" w:hAnsi="Arial" w:cs="Arial"/>
        </w:rPr>
      </w:pPr>
      <w:r w:rsidRPr="00F2464F">
        <w:rPr>
          <w:rFonts w:ascii="Arial" w:hAnsi="Arial" w:cs="Arial"/>
          <w:b/>
          <w:bCs/>
        </w:rPr>
        <w:t>Recommendation 12: Establish Formal Data-Sharing Agreements.</w:t>
      </w:r>
    </w:p>
    <w:p w14:paraId="3EE65554" w14:textId="77777777" w:rsidR="00D71A23" w:rsidRPr="00F2464F" w:rsidRDefault="00D71A23" w:rsidP="00D71A23">
      <w:pPr>
        <w:rPr>
          <w:rFonts w:ascii="Arial" w:hAnsi="Arial" w:cs="Arial"/>
        </w:rPr>
      </w:pPr>
      <w:r w:rsidRPr="00F2464F">
        <w:rPr>
          <w:rFonts w:ascii="Arial" w:hAnsi="Arial" w:cs="Arial"/>
        </w:rPr>
        <w:t>Data-sharing agreements should be formalized between CRVS, health, education, social protection, and national identification systems.</w:t>
      </w:r>
    </w:p>
    <w:p w14:paraId="25645793" w14:textId="77777777" w:rsidR="00D71A23" w:rsidRPr="00F2464F" w:rsidRDefault="00D71A23" w:rsidP="00D71A23">
      <w:pPr>
        <w:rPr>
          <w:rFonts w:ascii="Arial" w:hAnsi="Arial" w:cs="Arial"/>
        </w:rPr>
      </w:pPr>
      <w:r w:rsidRPr="00F2464F">
        <w:rPr>
          <w:rFonts w:ascii="Arial" w:hAnsi="Arial" w:cs="Arial"/>
          <w:b/>
          <w:bCs/>
        </w:rPr>
        <w:t>Recommendation 13: Strengthen Legal Frameworks Supporting Secure Information Sharing.</w:t>
      </w:r>
    </w:p>
    <w:p w14:paraId="15807700" w14:textId="77777777" w:rsidR="00D71A23" w:rsidRPr="00F2464F" w:rsidRDefault="00D71A23" w:rsidP="00D71A23">
      <w:pPr>
        <w:rPr>
          <w:rFonts w:ascii="Arial" w:hAnsi="Arial" w:cs="Arial"/>
        </w:rPr>
      </w:pPr>
      <w:r w:rsidRPr="00F2464F">
        <w:rPr>
          <w:rFonts w:ascii="Arial" w:hAnsi="Arial" w:cs="Arial"/>
        </w:rPr>
        <w:t>Legal and policy frameworks should be reviewed and strengthened to support interoperability and data sharing.</w:t>
      </w:r>
    </w:p>
    <w:p w14:paraId="7C61F13F" w14:textId="77777777" w:rsidR="00D71A23" w:rsidRPr="00F2464F" w:rsidRDefault="00D71A23" w:rsidP="00D71A23">
      <w:pPr>
        <w:rPr>
          <w:rFonts w:ascii="Arial" w:hAnsi="Arial" w:cs="Arial"/>
        </w:rPr>
      </w:pPr>
      <w:r w:rsidRPr="00F2464F">
        <w:rPr>
          <w:rFonts w:ascii="Arial" w:hAnsi="Arial" w:cs="Arial"/>
          <w:b/>
          <w:bCs/>
        </w:rPr>
        <w:t>Recommendation 14: Introduce or Expand the Use of Unique Personal Identification Numbers.</w:t>
      </w:r>
    </w:p>
    <w:p w14:paraId="5470EB35" w14:textId="77777777" w:rsidR="00D71A23" w:rsidRPr="00F2464F" w:rsidRDefault="00D71A23" w:rsidP="00D71A23">
      <w:pPr>
        <w:rPr>
          <w:rFonts w:ascii="Arial" w:hAnsi="Arial" w:cs="Arial"/>
        </w:rPr>
      </w:pPr>
      <w:r w:rsidRPr="00F2464F">
        <w:rPr>
          <w:rFonts w:ascii="Arial" w:hAnsi="Arial" w:cs="Arial"/>
        </w:rPr>
        <w:t>Unique identification numbers should be introduced or expanded across government systems to enable seamless data integration.</w:t>
      </w:r>
    </w:p>
    <w:p w14:paraId="0AFC2AB2" w14:textId="77777777" w:rsidR="00D71A23" w:rsidRPr="00F2464F" w:rsidRDefault="00D71A23" w:rsidP="00D71A23">
      <w:pPr>
        <w:rPr>
          <w:rFonts w:ascii="Arial" w:hAnsi="Arial" w:cs="Arial"/>
        </w:rPr>
      </w:pPr>
      <w:r w:rsidRPr="00F2464F">
        <w:rPr>
          <w:rFonts w:ascii="Arial" w:hAnsi="Arial" w:cs="Arial"/>
          <w:b/>
          <w:bCs/>
        </w:rPr>
        <w:lastRenderedPageBreak/>
        <w:t>Recommendation 15: Clarify Institutional Mandates and Strengthen Accountability Mechanisms.</w:t>
      </w:r>
    </w:p>
    <w:p w14:paraId="06FEAB5C" w14:textId="77777777" w:rsidR="00D71A23" w:rsidRPr="00F2464F" w:rsidRDefault="00D71A23" w:rsidP="00D71A23">
      <w:pPr>
        <w:rPr>
          <w:rFonts w:ascii="Arial" w:hAnsi="Arial" w:cs="Arial"/>
        </w:rPr>
      </w:pPr>
      <w:r w:rsidRPr="00F2464F">
        <w:rPr>
          <w:rFonts w:ascii="Arial" w:hAnsi="Arial" w:cs="Arial"/>
        </w:rPr>
        <w:t>Clear mandates and accountability mechanisms should be established for all institutions involved in CRVS integration.</w:t>
      </w:r>
    </w:p>
    <w:p w14:paraId="7300A0D7" w14:textId="77777777" w:rsidR="00D71A23" w:rsidRPr="00F2464F" w:rsidRDefault="00D71A23" w:rsidP="00D71A23">
      <w:pPr>
        <w:rPr>
          <w:rFonts w:ascii="Arial" w:hAnsi="Arial" w:cs="Arial"/>
        </w:rPr>
      </w:pPr>
      <w:r w:rsidRPr="00F2464F">
        <w:rPr>
          <w:rFonts w:ascii="Arial" w:hAnsi="Arial" w:cs="Arial"/>
          <w:b/>
          <w:bCs/>
        </w:rPr>
        <w:t>Recommendation 16: Establish Monitoring Systems to Ensure Implementation.</w:t>
      </w:r>
    </w:p>
    <w:p w14:paraId="7A274FB0" w14:textId="77777777" w:rsidR="00D71A23" w:rsidRPr="00F2464F" w:rsidRDefault="00D71A23" w:rsidP="00D71A23">
      <w:pPr>
        <w:rPr>
          <w:rFonts w:ascii="Arial" w:hAnsi="Arial" w:cs="Arial"/>
        </w:rPr>
      </w:pPr>
      <w:r w:rsidRPr="00F2464F">
        <w:rPr>
          <w:rFonts w:ascii="Arial" w:hAnsi="Arial" w:cs="Arial"/>
        </w:rPr>
        <w:t>Monitoring systems should be established to track implementation of recommendations by technical committees.</w:t>
      </w:r>
    </w:p>
    <w:p w14:paraId="2F3AA48D" w14:textId="77777777" w:rsidR="00D71A23" w:rsidRPr="00F2464F" w:rsidRDefault="00D71A23" w:rsidP="00D71A23">
      <w:pPr>
        <w:rPr>
          <w:rFonts w:ascii="Arial" w:hAnsi="Arial" w:cs="Arial"/>
          <w:b/>
          <w:bCs/>
        </w:rPr>
      </w:pPr>
      <w:r w:rsidRPr="00F2464F">
        <w:rPr>
          <w:rFonts w:ascii="Arial" w:hAnsi="Arial" w:cs="Arial"/>
          <w:b/>
          <w:bCs/>
        </w:rPr>
        <w:t>3.4 Overall CRVS Recommendations</w:t>
      </w:r>
    </w:p>
    <w:p w14:paraId="77C785B1" w14:textId="77777777" w:rsidR="00D71A23" w:rsidRPr="00F2464F" w:rsidRDefault="00D71A23" w:rsidP="00D71A23">
      <w:pPr>
        <w:rPr>
          <w:rFonts w:ascii="Arial" w:hAnsi="Arial" w:cs="Arial"/>
        </w:rPr>
      </w:pPr>
      <w:r w:rsidRPr="00F2464F">
        <w:rPr>
          <w:rFonts w:ascii="Arial" w:hAnsi="Arial" w:cs="Arial"/>
          <w:b/>
          <w:bCs/>
        </w:rPr>
        <w:t>Recommendation 17: Develop National Strategies to Eliminate Registration Backlogs.</w:t>
      </w:r>
    </w:p>
    <w:p w14:paraId="3C60DAA7" w14:textId="77777777" w:rsidR="00D71A23" w:rsidRPr="00F2464F" w:rsidRDefault="00D71A23" w:rsidP="00D71A23">
      <w:pPr>
        <w:rPr>
          <w:rFonts w:ascii="Arial" w:hAnsi="Arial" w:cs="Arial"/>
        </w:rPr>
      </w:pPr>
      <w:r w:rsidRPr="00F2464F">
        <w:rPr>
          <w:rFonts w:ascii="Arial" w:hAnsi="Arial" w:cs="Arial"/>
        </w:rPr>
        <w:t>Countries should develop strategies to eliminate registration backlogs within 2–5 years while maintaining timely registration of newborns.</w:t>
      </w:r>
    </w:p>
    <w:p w14:paraId="6AB0FC2D" w14:textId="77777777" w:rsidR="00D71A23" w:rsidRPr="00F2464F" w:rsidRDefault="00D71A23" w:rsidP="00D71A23">
      <w:pPr>
        <w:rPr>
          <w:rFonts w:ascii="Arial" w:hAnsi="Arial" w:cs="Arial"/>
        </w:rPr>
      </w:pPr>
      <w:r w:rsidRPr="00F2464F">
        <w:rPr>
          <w:rFonts w:ascii="Arial" w:hAnsi="Arial" w:cs="Arial"/>
          <w:b/>
          <w:bCs/>
        </w:rPr>
        <w:t>Recommendation 18: Promote South-South Cooperation.</w:t>
      </w:r>
    </w:p>
    <w:p w14:paraId="22C73D71" w14:textId="77777777" w:rsidR="00D71A23" w:rsidRPr="00F2464F" w:rsidRDefault="00D71A23" w:rsidP="00D71A23">
      <w:pPr>
        <w:rPr>
          <w:rFonts w:ascii="Arial" w:hAnsi="Arial" w:cs="Arial"/>
        </w:rPr>
      </w:pPr>
      <w:r w:rsidRPr="00F2464F">
        <w:rPr>
          <w:rFonts w:ascii="Arial" w:hAnsi="Arial" w:cs="Arial"/>
        </w:rPr>
        <w:t>Successful CRVS experiences and innovations should be shared through South-South cooperation mechanisms.</w:t>
      </w:r>
    </w:p>
    <w:p w14:paraId="508CCB87" w14:textId="77777777" w:rsidR="00D71A23" w:rsidRPr="00F2464F" w:rsidRDefault="00D71A23" w:rsidP="00D71A23">
      <w:pPr>
        <w:rPr>
          <w:rFonts w:ascii="Arial" w:hAnsi="Arial" w:cs="Arial"/>
        </w:rPr>
      </w:pPr>
      <w:r w:rsidRPr="00F2464F">
        <w:rPr>
          <w:rFonts w:ascii="Arial" w:hAnsi="Arial" w:cs="Arial"/>
          <w:b/>
          <w:bCs/>
        </w:rPr>
        <w:t>Recommendation 19: Strengthen Mobile Registration Services for Underserved and Remote Communities.</w:t>
      </w:r>
    </w:p>
    <w:p w14:paraId="4468CBB7" w14:textId="77777777" w:rsidR="00D71A23" w:rsidRPr="00F2464F" w:rsidRDefault="00D71A23" w:rsidP="00D71A23">
      <w:pPr>
        <w:rPr>
          <w:rFonts w:ascii="Arial" w:hAnsi="Arial" w:cs="Arial"/>
        </w:rPr>
      </w:pPr>
      <w:r w:rsidRPr="00F2464F">
        <w:rPr>
          <w:rFonts w:ascii="Arial" w:hAnsi="Arial" w:cs="Arial"/>
        </w:rPr>
        <w:t>Mobile registration services should be strengthened to reach underserved and remote communities.</w:t>
      </w:r>
    </w:p>
    <w:p w14:paraId="035C04E0" w14:textId="77777777" w:rsidR="00D71A23" w:rsidRPr="00F2464F" w:rsidRDefault="00D71A23" w:rsidP="00D71A23">
      <w:pPr>
        <w:rPr>
          <w:rFonts w:ascii="Arial" w:hAnsi="Arial" w:cs="Arial"/>
        </w:rPr>
      </w:pPr>
      <w:r w:rsidRPr="00F2464F">
        <w:rPr>
          <w:rFonts w:ascii="Arial" w:hAnsi="Arial" w:cs="Arial"/>
          <w:b/>
          <w:bCs/>
        </w:rPr>
        <w:t>Recommendation 20: Adopt Citizen-Centred Registration Procedures.</w:t>
      </w:r>
    </w:p>
    <w:p w14:paraId="7C33AD3C" w14:textId="77777777" w:rsidR="00D71A23" w:rsidRPr="00F2464F" w:rsidRDefault="00D71A23" w:rsidP="00D71A23">
      <w:pPr>
        <w:rPr>
          <w:rFonts w:ascii="Arial" w:hAnsi="Arial" w:cs="Arial"/>
        </w:rPr>
      </w:pPr>
      <w:r w:rsidRPr="00F2464F">
        <w:rPr>
          <w:rFonts w:ascii="Arial" w:hAnsi="Arial" w:cs="Arial"/>
        </w:rPr>
        <w:t>Unnecessary administrative barriers should be reduced, including simplifying parental documentation requirements where appropriate.</w:t>
      </w:r>
    </w:p>
    <w:sectPr w:rsidR="00D71A23" w:rsidRPr="00F246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576C3"/>
    <w:multiLevelType w:val="multilevel"/>
    <w:tmpl w:val="F11A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454F3F"/>
    <w:multiLevelType w:val="multilevel"/>
    <w:tmpl w:val="D038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618102">
    <w:abstractNumId w:val="1"/>
  </w:num>
  <w:num w:numId="2" w16cid:durableId="383336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A23"/>
    <w:rsid w:val="00247038"/>
    <w:rsid w:val="00682192"/>
    <w:rsid w:val="009170A7"/>
    <w:rsid w:val="00D71A23"/>
    <w:rsid w:val="00E20AD0"/>
    <w:rsid w:val="00F2464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2E51E"/>
  <w15:chartTrackingRefBased/>
  <w15:docId w15:val="{C4F963FC-772F-40E7-85CE-4BD1D1EF9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1A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1A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1A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1A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1A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1A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1A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1A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1A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A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1A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1A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1A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1A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1A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A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A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A23"/>
    <w:rPr>
      <w:rFonts w:eastAsiaTheme="majorEastAsia" w:cstheme="majorBidi"/>
      <w:color w:val="272727" w:themeColor="text1" w:themeTint="D8"/>
    </w:rPr>
  </w:style>
  <w:style w:type="paragraph" w:styleId="Title">
    <w:name w:val="Title"/>
    <w:basedOn w:val="Normal"/>
    <w:next w:val="Normal"/>
    <w:link w:val="TitleChar"/>
    <w:uiPriority w:val="10"/>
    <w:qFormat/>
    <w:rsid w:val="00D71A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1A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A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1A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A23"/>
    <w:pPr>
      <w:spacing w:before="160"/>
      <w:jc w:val="center"/>
    </w:pPr>
    <w:rPr>
      <w:i/>
      <w:iCs/>
      <w:color w:val="404040" w:themeColor="text1" w:themeTint="BF"/>
    </w:rPr>
  </w:style>
  <w:style w:type="character" w:customStyle="1" w:styleId="QuoteChar">
    <w:name w:val="Quote Char"/>
    <w:basedOn w:val="DefaultParagraphFont"/>
    <w:link w:val="Quote"/>
    <w:uiPriority w:val="29"/>
    <w:rsid w:val="00D71A23"/>
    <w:rPr>
      <w:i/>
      <w:iCs/>
      <w:color w:val="404040" w:themeColor="text1" w:themeTint="BF"/>
    </w:rPr>
  </w:style>
  <w:style w:type="paragraph" w:styleId="ListParagraph">
    <w:name w:val="List Paragraph"/>
    <w:basedOn w:val="Normal"/>
    <w:uiPriority w:val="34"/>
    <w:qFormat/>
    <w:rsid w:val="00D71A23"/>
    <w:pPr>
      <w:ind w:left="720"/>
      <w:contextualSpacing/>
    </w:pPr>
  </w:style>
  <w:style w:type="character" w:styleId="IntenseEmphasis">
    <w:name w:val="Intense Emphasis"/>
    <w:basedOn w:val="DefaultParagraphFont"/>
    <w:uiPriority w:val="21"/>
    <w:qFormat/>
    <w:rsid w:val="00D71A23"/>
    <w:rPr>
      <w:i/>
      <w:iCs/>
      <w:color w:val="0F4761" w:themeColor="accent1" w:themeShade="BF"/>
    </w:rPr>
  </w:style>
  <w:style w:type="paragraph" w:styleId="IntenseQuote">
    <w:name w:val="Intense Quote"/>
    <w:basedOn w:val="Normal"/>
    <w:next w:val="Normal"/>
    <w:link w:val="IntenseQuoteChar"/>
    <w:uiPriority w:val="30"/>
    <w:qFormat/>
    <w:rsid w:val="00D71A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1A23"/>
    <w:rPr>
      <w:i/>
      <w:iCs/>
      <w:color w:val="0F4761" w:themeColor="accent1" w:themeShade="BF"/>
    </w:rPr>
  </w:style>
  <w:style w:type="character" w:styleId="IntenseReference">
    <w:name w:val="Intense Reference"/>
    <w:basedOn w:val="DefaultParagraphFont"/>
    <w:uiPriority w:val="32"/>
    <w:qFormat/>
    <w:rsid w:val="00D71A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1102</Words>
  <Characters>6641</Characters>
  <Application>Microsoft Office Word</Application>
  <DocSecurity>0</DocSecurity>
  <Lines>442</Lines>
  <Paragraphs>297</Paragraphs>
  <ScaleCrop>false</ScaleCrop>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Hosea Mitala</dc:creator>
  <cp:keywords/>
  <dc:description/>
  <cp:lastModifiedBy>Hosea Mitala</cp:lastModifiedBy>
  <cp:revision>2</cp:revision>
  <dcterms:created xsi:type="dcterms:W3CDTF">2026-07-20T05:47:00Z</dcterms:created>
  <dcterms:modified xsi:type="dcterms:W3CDTF">2026-07-20T06:06:00Z</dcterms:modified>
</cp:coreProperties>
</file>