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33E8F" w14:textId="77777777" w:rsidR="007C3EA0" w:rsidRPr="004323C5" w:rsidRDefault="007C3EA0" w:rsidP="007C3EA0">
      <w:pPr>
        <w:rPr>
          <w:rFonts w:ascii="Arial" w:hAnsi="Arial" w:cs="Arial"/>
          <w:b/>
          <w:bCs/>
        </w:rPr>
      </w:pPr>
      <w:r w:rsidRPr="004323C5">
        <w:rPr>
          <w:rFonts w:ascii="Arial" w:hAnsi="Arial" w:cs="Arial"/>
          <w:b/>
          <w:bCs/>
        </w:rPr>
        <w:t>Breakout B: Decentralization — Strategies for Equitable Access</w:t>
      </w:r>
    </w:p>
    <w:p w14:paraId="4AD3C219" w14:textId="77777777" w:rsidR="007C3EA0" w:rsidRPr="004323C5" w:rsidRDefault="007C3EA0" w:rsidP="007C3EA0">
      <w:pPr>
        <w:rPr>
          <w:rFonts w:ascii="Arial" w:hAnsi="Arial" w:cs="Arial"/>
          <w:b/>
          <w:bCs/>
        </w:rPr>
      </w:pPr>
      <w:r w:rsidRPr="004323C5">
        <w:rPr>
          <w:rFonts w:ascii="Arial" w:hAnsi="Arial" w:cs="Arial"/>
          <w:b/>
          <w:bCs/>
        </w:rPr>
        <w:t>"Scaling Up Decentralized Models for Equitable Coverage"</w:t>
      </w:r>
    </w:p>
    <w:p w14:paraId="7348590C" w14:textId="77777777" w:rsidR="007C3EA0" w:rsidRPr="004323C5" w:rsidRDefault="007C3EA0" w:rsidP="007C3EA0">
      <w:pPr>
        <w:rPr>
          <w:rFonts w:ascii="Arial" w:hAnsi="Arial" w:cs="Arial"/>
          <w:b/>
          <w:bCs/>
        </w:rPr>
      </w:pPr>
      <w:r w:rsidRPr="004323C5">
        <w:rPr>
          <w:rFonts w:ascii="Arial" w:hAnsi="Arial" w:cs="Arial"/>
          <w:b/>
          <w:bCs/>
        </w:rPr>
        <w:t>1. COUNTRIES PARTICIPATED</w:t>
      </w:r>
    </w:p>
    <w:p w14:paraId="398D0B9C" w14:textId="77777777" w:rsidR="007C3EA0" w:rsidRPr="004323C5" w:rsidRDefault="007C3EA0" w:rsidP="007C3EA0">
      <w:pPr>
        <w:rPr>
          <w:rFonts w:ascii="Arial" w:hAnsi="Arial" w:cs="Arial"/>
        </w:rPr>
      </w:pPr>
      <w:r w:rsidRPr="004323C5">
        <w:rPr>
          <w:rFonts w:ascii="Arial" w:hAnsi="Arial" w:cs="Arial"/>
        </w:rPr>
        <w:t>Eight countries actively participated in the breakout session: Ghana, Mali, South Sudan, Togo, Uganda, Zambia, Zimbabwe, and representatives from other delegations. The session brought together diverse perspectives from across the continent, covering different stages of CRVS development and decentralization experiences.</w:t>
      </w:r>
    </w:p>
    <w:p w14:paraId="5B49C4B6" w14:textId="77777777" w:rsidR="007C3EA0" w:rsidRPr="004323C5" w:rsidRDefault="007C3EA0" w:rsidP="007C3EA0">
      <w:pPr>
        <w:rPr>
          <w:rFonts w:ascii="Arial" w:hAnsi="Arial" w:cs="Arial"/>
          <w:b/>
          <w:bCs/>
        </w:rPr>
      </w:pPr>
      <w:r w:rsidRPr="004323C5">
        <w:rPr>
          <w:rFonts w:ascii="Arial" w:hAnsi="Arial" w:cs="Arial"/>
          <w:b/>
          <w:bCs/>
        </w:rPr>
        <w:t>2. KEY DISCUSSION POINTS</w:t>
      </w:r>
    </w:p>
    <w:p w14:paraId="380C6BEF" w14:textId="77777777" w:rsidR="007C3EA0" w:rsidRPr="004323C5" w:rsidRDefault="007C3EA0" w:rsidP="007C3EA0">
      <w:pPr>
        <w:rPr>
          <w:rFonts w:ascii="Arial" w:hAnsi="Arial" w:cs="Arial"/>
          <w:b/>
          <w:bCs/>
        </w:rPr>
      </w:pPr>
      <w:r w:rsidRPr="004323C5">
        <w:rPr>
          <w:rFonts w:ascii="Arial" w:hAnsi="Arial" w:cs="Arial"/>
          <w:b/>
          <w:bCs/>
        </w:rPr>
        <w:t>2.1 Integrating Birth Registration with Health Services</w:t>
      </w:r>
    </w:p>
    <w:p w14:paraId="4F95864A" w14:textId="77777777" w:rsidR="007C3EA0" w:rsidRPr="004323C5" w:rsidRDefault="007C3EA0" w:rsidP="007C3EA0">
      <w:pPr>
        <w:rPr>
          <w:rFonts w:ascii="Arial" w:hAnsi="Arial" w:cs="Arial"/>
        </w:rPr>
      </w:pPr>
      <w:r w:rsidRPr="004323C5">
        <w:rPr>
          <w:rFonts w:ascii="Arial" w:hAnsi="Arial" w:cs="Arial"/>
        </w:rPr>
        <w:t>Participants shared experiences on integrating birth registration with health services across the continent.</w:t>
      </w:r>
    </w:p>
    <w:p w14:paraId="364DB640" w14:textId="77777777" w:rsidR="007C3EA0" w:rsidRPr="004323C5" w:rsidRDefault="007C3EA0" w:rsidP="004323C5">
      <w:pPr>
        <w:jc w:val="both"/>
        <w:rPr>
          <w:rFonts w:ascii="Arial" w:hAnsi="Arial" w:cs="Arial"/>
        </w:rPr>
      </w:pPr>
      <w:r w:rsidRPr="004323C5">
        <w:rPr>
          <w:rFonts w:ascii="Arial" w:hAnsi="Arial" w:cs="Arial"/>
          <w:b/>
          <w:bCs/>
        </w:rPr>
        <w:t>Uganda</w:t>
      </w:r>
      <w:r w:rsidRPr="004323C5">
        <w:rPr>
          <w:rFonts w:ascii="Arial" w:hAnsi="Arial" w:cs="Arial"/>
        </w:rPr>
        <w:t> shared experiences on integrating birth registration with health services, highlighting the collection of newborn biometrics and the gradual implementation of digital registration. The country emphasized interoperability between health and civil registration systems as a key success factor.</w:t>
      </w:r>
    </w:p>
    <w:p w14:paraId="5E558845" w14:textId="77777777" w:rsidR="007C3EA0" w:rsidRPr="004323C5" w:rsidRDefault="007C3EA0" w:rsidP="004323C5">
      <w:pPr>
        <w:jc w:val="both"/>
        <w:rPr>
          <w:rFonts w:ascii="Arial" w:hAnsi="Arial" w:cs="Arial"/>
        </w:rPr>
      </w:pPr>
      <w:r w:rsidRPr="004323C5">
        <w:rPr>
          <w:rFonts w:ascii="Arial" w:hAnsi="Arial" w:cs="Arial"/>
          <w:b/>
          <w:bCs/>
        </w:rPr>
        <w:t>Mali</w:t>
      </w:r>
      <w:r w:rsidRPr="004323C5">
        <w:rPr>
          <w:rFonts w:ascii="Arial" w:hAnsi="Arial" w:cs="Arial"/>
        </w:rPr>
        <w:t> demonstrated how vaccination campaigns and other health outreach activities are used to identify and register children in remote and displaced communities. The country showed the importance of integrating civil registration into routine immunization programmes as a practical approach to reaching underserved populations.</w:t>
      </w:r>
    </w:p>
    <w:p w14:paraId="1259A2CD" w14:textId="77777777" w:rsidR="007C3EA0" w:rsidRPr="004323C5" w:rsidRDefault="007C3EA0" w:rsidP="004323C5">
      <w:pPr>
        <w:jc w:val="both"/>
        <w:rPr>
          <w:rFonts w:ascii="Arial" w:hAnsi="Arial" w:cs="Arial"/>
        </w:rPr>
      </w:pPr>
      <w:r w:rsidRPr="004323C5">
        <w:rPr>
          <w:rFonts w:ascii="Arial" w:hAnsi="Arial" w:cs="Arial"/>
        </w:rPr>
        <w:t>Participants agreed that health facilities serve as the most effective entry point for registering children, particularly through maternity, immunization, and child health services.</w:t>
      </w:r>
    </w:p>
    <w:p w14:paraId="13C73CE3" w14:textId="77777777" w:rsidR="007C3EA0" w:rsidRPr="004323C5" w:rsidRDefault="007C3EA0" w:rsidP="007C3EA0">
      <w:pPr>
        <w:rPr>
          <w:rFonts w:ascii="Arial" w:hAnsi="Arial" w:cs="Arial"/>
          <w:b/>
          <w:bCs/>
        </w:rPr>
      </w:pPr>
      <w:r w:rsidRPr="004323C5">
        <w:rPr>
          <w:rFonts w:ascii="Arial" w:hAnsi="Arial" w:cs="Arial"/>
          <w:b/>
          <w:bCs/>
        </w:rPr>
        <w:t>2.2 Education Sector Collaboration</w:t>
      </w:r>
    </w:p>
    <w:p w14:paraId="5D777C99" w14:textId="2524741F" w:rsidR="007C3EA0" w:rsidRPr="004323C5" w:rsidRDefault="007C3EA0" w:rsidP="007C3EA0">
      <w:pPr>
        <w:rPr>
          <w:rFonts w:ascii="Arial" w:hAnsi="Arial" w:cs="Arial"/>
        </w:rPr>
      </w:pPr>
      <w:r w:rsidRPr="004323C5">
        <w:rPr>
          <w:rFonts w:ascii="Arial" w:hAnsi="Arial" w:cs="Arial"/>
          <w:b/>
          <w:bCs/>
        </w:rPr>
        <w:t>Togo</w:t>
      </w:r>
      <w:r w:rsidRPr="004323C5">
        <w:rPr>
          <w:rFonts w:ascii="Arial" w:hAnsi="Arial" w:cs="Arial"/>
        </w:rPr>
        <w:t xml:space="preserve"> reported approximately 85% birth registration coverage and uses schools to identify children without birth certificates. The country has established collaboration </w:t>
      </w:r>
      <w:r w:rsidR="00087792">
        <w:rPr>
          <w:rFonts w:ascii="Arial" w:hAnsi="Arial" w:cs="Arial"/>
          <w:lang w:val="en-US"/>
        </w:rPr>
        <w:t xml:space="preserve">and signed an MOU </w:t>
      </w:r>
      <w:r w:rsidRPr="004323C5">
        <w:rPr>
          <w:rFonts w:ascii="Arial" w:hAnsi="Arial" w:cs="Arial"/>
        </w:rPr>
        <w:t>between the Ministry responsible for Civil Registration and the Ministry of Education. However, participants noted that late registration costs remain a barrier, and proposed strengthening legislation to formalize collaboration with the education sector.</w:t>
      </w:r>
    </w:p>
    <w:p w14:paraId="4BF3D2E5" w14:textId="77777777" w:rsidR="007C3EA0" w:rsidRPr="004323C5" w:rsidRDefault="007C3EA0" w:rsidP="007C3EA0">
      <w:pPr>
        <w:rPr>
          <w:rFonts w:ascii="Arial" w:hAnsi="Arial" w:cs="Arial"/>
        </w:rPr>
      </w:pPr>
      <w:r w:rsidRPr="004323C5">
        <w:rPr>
          <w:rFonts w:ascii="Arial" w:hAnsi="Arial" w:cs="Arial"/>
        </w:rPr>
        <w:t>The discussion highlighted that schools are strategic platforms for identifying unregistered children aged 5–17 years through enrolment records and examination registration systems.</w:t>
      </w:r>
    </w:p>
    <w:p w14:paraId="63EE88CF" w14:textId="77777777" w:rsidR="007C3EA0" w:rsidRPr="004323C5" w:rsidRDefault="007C3EA0" w:rsidP="007C3EA0">
      <w:pPr>
        <w:rPr>
          <w:rFonts w:ascii="Arial" w:hAnsi="Arial" w:cs="Arial"/>
          <w:b/>
          <w:bCs/>
        </w:rPr>
      </w:pPr>
      <w:r w:rsidRPr="004323C5">
        <w:rPr>
          <w:rFonts w:ascii="Arial" w:hAnsi="Arial" w:cs="Arial"/>
          <w:b/>
          <w:bCs/>
        </w:rPr>
        <w:t>2.3 Stakeholder Engagement and Coordination</w:t>
      </w:r>
    </w:p>
    <w:p w14:paraId="5103636F" w14:textId="77777777" w:rsidR="007C3EA0" w:rsidRPr="004323C5" w:rsidRDefault="007C3EA0" w:rsidP="007C3EA0">
      <w:pPr>
        <w:rPr>
          <w:rFonts w:ascii="Arial" w:hAnsi="Arial" w:cs="Arial"/>
        </w:rPr>
      </w:pPr>
      <w:r w:rsidRPr="004323C5">
        <w:rPr>
          <w:rFonts w:ascii="Arial" w:hAnsi="Arial" w:cs="Arial"/>
          <w:b/>
          <w:bCs/>
        </w:rPr>
        <w:t>Zambia</w:t>
      </w:r>
      <w:r w:rsidRPr="004323C5">
        <w:rPr>
          <w:rFonts w:ascii="Arial" w:hAnsi="Arial" w:cs="Arial"/>
        </w:rPr>
        <w:t> shared experience on stakeholder engagement, having established strong collaboration between multiple ministries. The country demonstrated the importance of inter-ministerial agreements and coordinated implementation for effective CRVS decentralization.</w:t>
      </w:r>
    </w:p>
    <w:p w14:paraId="0A0A8B4B" w14:textId="39DBFBE2" w:rsidR="007C3EA0" w:rsidRPr="004323C5" w:rsidRDefault="007C3EA0" w:rsidP="007C3EA0">
      <w:pPr>
        <w:rPr>
          <w:rFonts w:ascii="Arial" w:hAnsi="Arial" w:cs="Arial"/>
        </w:rPr>
      </w:pPr>
      <w:r w:rsidRPr="004323C5">
        <w:rPr>
          <w:rFonts w:ascii="Arial" w:hAnsi="Arial" w:cs="Arial"/>
        </w:rPr>
        <w:t xml:space="preserve">Participants noted that several countries have established multi-sectoral CRVS committees, but many lack </w:t>
      </w:r>
      <w:r w:rsidR="00087792">
        <w:rPr>
          <w:rFonts w:ascii="Arial" w:hAnsi="Arial" w:cs="Arial"/>
          <w:lang w:val="en-US"/>
        </w:rPr>
        <w:t xml:space="preserve">functionality, </w:t>
      </w:r>
      <w:r w:rsidRPr="004323C5">
        <w:rPr>
          <w:rFonts w:ascii="Arial" w:hAnsi="Arial" w:cs="Arial"/>
        </w:rPr>
        <w:t>effective follow-up mechanisms and accountability for implementation.</w:t>
      </w:r>
    </w:p>
    <w:p w14:paraId="518E7A49" w14:textId="77777777" w:rsidR="007C3EA0" w:rsidRPr="004323C5" w:rsidRDefault="007C3EA0" w:rsidP="007C3EA0">
      <w:pPr>
        <w:rPr>
          <w:rFonts w:ascii="Arial" w:hAnsi="Arial" w:cs="Arial"/>
          <w:b/>
          <w:bCs/>
        </w:rPr>
      </w:pPr>
      <w:r w:rsidRPr="004323C5">
        <w:rPr>
          <w:rFonts w:ascii="Arial" w:hAnsi="Arial" w:cs="Arial"/>
          <w:b/>
          <w:bCs/>
        </w:rPr>
        <w:t>2.4 Financing and Sustainability</w:t>
      </w:r>
    </w:p>
    <w:p w14:paraId="61F62BA4" w14:textId="77777777" w:rsidR="007C3EA0" w:rsidRPr="004323C5" w:rsidRDefault="007C3EA0" w:rsidP="007C3EA0">
      <w:pPr>
        <w:rPr>
          <w:rFonts w:ascii="Arial" w:hAnsi="Arial" w:cs="Arial"/>
        </w:rPr>
      </w:pPr>
      <w:r w:rsidRPr="004323C5">
        <w:rPr>
          <w:rFonts w:ascii="Arial" w:hAnsi="Arial" w:cs="Arial"/>
          <w:b/>
          <w:bCs/>
        </w:rPr>
        <w:t>South Sudan</w:t>
      </w:r>
      <w:r w:rsidRPr="004323C5">
        <w:rPr>
          <w:rFonts w:ascii="Arial" w:hAnsi="Arial" w:cs="Arial"/>
        </w:rPr>
        <w:t> highlighted challenges associated with limited financial resources and dependence on donor support. The country emphasized the need for greater domestic financing and parliamentary advocacy to ensure sustainable CRVS systems.</w:t>
      </w:r>
    </w:p>
    <w:p w14:paraId="3BF52CB6" w14:textId="77777777" w:rsidR="007C3EA0" w:rsidRPr="004323C5" w:rsidRDefault="007C3EA0" w:rsidP="007C3EA0">
      <w:pPr>
        <w:rPr>
          <w:rFonts w:ascii="Arial" w:hAnsi="Arial" w:cs="Arial"/>
        </w:rPr>
      </w:pPr>
      <w:r w:rsidRPr="004323C5">
        <w:rPr>
          <w:rFonts w:ascii="Arial" w:hAnsi="Arial" w:cs="Arial"/>
        </w:rPr>
        <w:lastRenderedPageBreak/>
        <w:t>Participants discussed the importance of moving from project-based donor funding to nationally-budgeted CRVS systems with dedicated budget allocations.</w:t>
      </w:r>
    </w:p>
    <w:p w14:paraId="47C11ECE" w14:textId="77777777" w:rsidR="007C3EA0" w:rsidRPr="004323C5" w:rsidRDefault="007C3EA0" w:rsidP="007C3EA0">
      <w:pPr>
        <w:rPr>
          <w:rFonts w:ascii="Arial" w:hAnsi="Arial" w:cs="Arial"/>
          <w:b/>
          <w:bCs/>
        </w:rPr>
      </w:pPr>
      <w:r w:rsidRPr="004323C5">
        <w:rPr>
          <w:rFonts w:ascii="Arial" w:hAnsi="Arial" w:cs="Arial"/>
          <w:b/>
          <w:bCs/>
        </w:rPr>
        <w:t>2.5 Common Challenges Identified</w:t>
      </w:r>
    </w:p>
    <w:p w14:paraId="56C792C3" w14:textId="77777777" w:rsidR="007C3EA0" w:rsidRPr="004323C5" w:rsidRDefault="007C3EA0" w:rsidP="007C3EA0">
      <w:pPr>
        <w:rPr>
          <w:rFonts w:ascii="Arial" w:hAnsi="Arial" w:cs="Arial"/>
        </w:rPr>
      </w:pPr>
      <w:r w:rsidRPr="004323C5">
        <w:rPr>
          <w:rFonts w:ascii="Arial" w:hAnsi="Arial" w:cs="Arial"/>
        </w:rPr>
        <w:t>Participants identified several common challenges across countries:</w:t>
      </w:r>
    </w:p>
    <w:p w14:paraId="41561915" w14:textId="77777777" w:rsidR="007C3EA0" w:rsidRPr="004323C5" w:rsidRDefault="007C3EA0" w:rsidP="007C3EA0">
      <w:pPr>
        <w:numPr>
          <w:ilvl w:val="0"/>
          <w:numId w:val="1"/>
        </w:numPr>
        <w:rPr>
          <w:rFonts w:ascii="Arial" w:hAnsi="Arial" w:cs="Arial"/>
        </w:rPr>
      </w:pPr>
      <w:r w:rsidRPr="004323C5">
        <w:rPr>
          <w:rFonts w:ascii="Arial" w:hAnsi="Arial" w:cs="Arial"/>
        </w:rPr>
        <w:t>Limited financial resources and dependence on donor support</w:t>
      </w:r>
    </w:p>
    <w:p w14:paraId="1F0D1718" w14:textId="77777777" w:rsidR="007C3EA0" w:rsidRPr="004323C5" w:rsidRDefault="007C3EA0" w:rsidP="007C3EA0">
      <w:pPr>
        <w:numPr>
          <w:ilvl w:val="0"/>
          <w:numId w:val="1"/>
        </w:numPr>
        <w:rPr>
          <w:rFonts w:ascii="Arial" w:hAnsi="Arial" w:cs="Arial"/>
        </w:rPr>
      </w:pPr>
      <w:r w:rsidRPr="004323C5">
        <w:rPr>
          <w:rFonts w:ascii="Arial" w:hAnsi="Arial" w:cs="Arial"/>
        </w:rPr>
        <w:t>Weak institutional capacity at subnational levels</w:t>
      </w:r>
    </w:p>
    <w:p w14:paraId="543BACBD" w14:textId="77777777" w:rsidR="007C3EA0" w:rsidRPr="004323C5" w:rsidRDefault="007C3EA0" w:rsidP="007C3EA0">
      <w:pPr>
        <w:numPr>
          <w:ilvl w:val="0"/>
          <w:numId w:val="1"/>
        </w:numPr>
        <w:rPr>
          <w:rFonts w:ascii="Arial" w:hAnsi="Arial" w:cs="Arial"/>
        </w:rPr>
      </w:pPr>
      <w:r w:rsidRPr="004323C5">
        <w:rPr>
          <w:rFonts w:ascii="Arial" w:hAnsi="Arial" w:cs="Arial"/>
        </w:rPr>
        <w:t>Inadequate infrastructure and logistics for last-mile delivery</w:t>
      </w:r>
    </w:p>
    <w:p w14:paraId="105EB145" w14:textId="22DB96FC" w:rsidR="007C3EA0" w:rsidRPr="004323C5" w:rsidRDefault="00087792" w:rsidP="007C3EA0">
      <w:pPr>
        <w:numPr>
          <w:ilvl w:val="0"/>
          <w:numId w:val="1"/>
        </w:numPr>
        <w:rPr>
          <w:rFonts w:ascii="Arial" w:hAnsi="Arial" w:cs="Arial"/>
        </w:rPr>
      </w:pPr>
      <w:r>
        <w:rPr>
          <w:rFonts w:ascii="Arial" w:hAnsi="Arial" w:cs="Arial"/>
          <w:lang w:val="en-US"/>
        </w:rPr>
        <w:t>R</w:t>
      </w:r>
      <w:proofErr w:type="spellStart"/>
      <w:r w:rsidR="007C3EA0" w:rsidRPr="004323C5">
        <w:rPr>
          <w:rFonts w:ascii="Arial" w:hAnsi="Arial" w:cs="Arial"/>
        </w:rPr>
        <w:t>egistration</w:t>
      </w:r>
      <w:proofErr w:type="spellEnd"/>
      <w:r w:rsidR="007C3EA0" w:rsidRPr="004323C5">
        <w:rPr>
          <w:rFonts w:ascii="Arial" w:hAnsi="Arial" w:cs="Arial"/>
        </w:rPr>
        <w:t xml:space="preserve"> </w:t>
      </w:r>
      <w:r>
        <w:rPr>
          <w:rFonts w:ascii="Arial" w:hAnsi="Arial" w:cs="Arial"/>
          <w:lang w:val="en-US"/>
        </w:rPr>
        <w:t xml:space="preserve">and certification </w:t>
      </w:r>
      <w:r w:rsidR="007C3EA0" w:rsidRPr="004323C5">
        <w:rPr>
          <w:rFonts w:ascii="Arial" w:hAnsi="Arial" w:cs="Arial"/>
        </w:rPr>
        <w:t>costs remaining a barrier to universal coverage</w:t>
      </w:r>
    </w:p>
    <w:p w14:paraId="1BC3590B" w14:textId="77777777" w:rsidR="007C3EA0" w:rsidRPr="004323C5" w:rsidRDefault="007C3EA0" w:rsidP="007C3EA0">
      <w:pPr>
        <w:numPr>
          <w:ilvl w:val="0"/>
          <w:numId w:val="1"/>
        </w:numPr>
        <w:rPr>
          <w:rFonts w:ascii="Arial" w:hAnsi="Arial" w:cs="Arial"/>
        </w:rPr>
      </w:pPr>
      <w:r w:rsidRPr="004323C5">
        <w:rPr>
          <w:rFonts w:ascii="Arial" w:hAnsi="Arial" w:cs="Arial"/>
        </w:rPr>
        <w:t>Limited coordination between central and subnational authorities</w:t>
      </w:r>
    </w:p>
    <w:p w14:paraId="303BBE95" w14:textId="77777777" w:rsidR="007C3EA0" w:rsidRPr="004323C5" w:rsidRDefault="007C3EA0" w:rsidP="007C3EA0">
      <w:pPr>
        <w:numPr>
          <w:ilvl w:val="0"/>
          <w:numId w:val="1"/>
        </w:numPr>
        <w:rPr>
          <w:rFonts w:ascii="Arial" w:hAnsi="Arial" w:cs="Arial"/>
        </w:rPr>
      </w:pPr>
      <w:r w:rsidRPr="004323C5">
        <w:rPr>
          <w:rFonts w:ascii="Arial" w:hAnsi="Arial" w:cs="Arial"/>
        </w:rPr>
        <w:t>Absence of clear accountability mechanisms</w:t>
      </w:r>
    </w:p>
    <w:p w14:paraId="7F0B2DD2" w14:textId="77777777" w:rsidR="007C3EA0" w:rsidRPr="004323C5" w:rsidRDefault="007C3EA0" w:rsidP="007C3EA0">
      <w:pPr>
        <w:numPr>
          <w:ilvl w:val="0"/>
          <w:numId w:val="1"/>
        </w:numPr>
        <w:rPr>
          <w:rFonts w:ascii="Arial" w:hAnsi="Arial" w:cs="Arial"/>
        </w:rPr>
      </w:pPr>
      <w:r w:rsidRPr="004323C5">
        <w:rPr>
          <w:rFonts w:ascii="Arial" w:hAnsi="Arial" w:cs="Arial"/>
        </w:rPr>
        <w:t>Weak legal and regulatory frameworks for decentralization</w:t>
      </w:r>
    </w:p>
    <w:p w14:paraId="6AE9CD5E" w14:textId="77777777" w:rsidR="007C3EA0" w:rsidRPr="004323C5" w:rsidRDefault="007C3EA0" w:rsidP="007C3EA0">
      <w:pPr>
        <w:numPr>
          <w:ilvl w:val="0"/>
          <w:numId w:val="1"/>
        </w:numPr>
        <w:rPr>
          <w:rFonts w:ascii="Arial" w:hAnsi="Arial" w:cs="Arial"/>
        </w:rPr>
      </w:pPr>
      <w:r w:rsidRPr="004323C5">
        <w:rPr>
          <w:rFonts w:ascii="Arial" w:hAnsi="Arial" w:cs="Arial"/>
        </w:rPr>
        <w:t>Competing priorities at local government level</w:t>
      </w:r>
    </w:p>
    <w:p w14:paraId="2678878F" w14:textId="63BE26BC" w:rsidR="007C3EA0" w:rsidRPr="004323C5" w:rsidRDefault="007C3EA0" w:rsidP="007C3EA0">
      <w:pPr>
        <w:rPr>
          <w:rFonts w:ascii="Arial" w:hAnsi="Arial" w:cs="Arial"/>
        </w:rPr>
      </w:pPr>
    </w:p>
    <w:p w14:paraId="78F54EE4" w14:textId="77777777" w:rsidR="007C3EA0" w:rsidRPr="004323C5" w:rsidRDefault="007C3EA0" w:rsidP="007C3EA0">
      <w:pPr>
        <w:rPr>
          <w:rFonts w:ascii="Arial" w:hAnsi="Arial" w:cs="Arial"/>
          <w:b/>
          <w:bCs/>
        </w:rPr>
      </w:pPr>
      <w:r w:rsidRPr="004323C5">
        <w:rPr>
          <w:rFonts w:ascii="Arial" w:hAnsi="Arial" w:cs="Arial"/>
          <w:b/>
          <w:bCs/>
        </w:rPr>
        <w:t>3. RECOMMENDATIONS</w:t>
      </w:r>
    </w:p>
    <w:p w14:paraId="75E067C7" w14:textId="77777777" w:rsidR="007C3EA0" w:rsidRPr="004323C5" w:rsidRDefault="007C3EA0" w:rsidP="007C3EA0">
      <w:pPr>
        <w:rPr>
          <w:rFonts w:ascii="Arial" w:hAnsi="Arial" w:cs="Arial"/>
        </w:rPr>
      </w:pPr>
      <w:r w:rsidRPr="004323C5">
        <w:rPr>
          <w:rFonts w:ascii="Arial" w:hAnsi="Arial" w:cs="Arial"/>
        </w:rPr>
        <w:t>Based on the group discussions, the following recommendations were proposed for consideration and adoption by the Ministerial Meeting:</w:t>
      </w:r>
    </w:p>
    <w:p w14:paraId="3CFA2D50" w14:textId="77777777" w:rsidR="007C3EA0" w:rsidRPr="004323C5" w:rsidRDefault="007C3EA0" w:rsidP="007C3EA0">
      <w:pPr>
        <w:rPr>
          <w:rFonts w:ascii="Arial" w:hAnsi="Arial" w:cs="Arial"/>
          <w:b/>
          <w:bCs/>
        </w:rPr>
      </w:pPr>
      <w:r w:rsidRPr="004323C5">
        <w:rPr>
          <w:rFonts w:ascii="Arial" w:hAnsi="Arial" w:cs="Arial"/>
          <w:b/>
          <w:bCs/>
        </w:rPr>
        <w:t>3.1 Political Commitment and National Priority</w:t>
      </w:r>
    </w:p>
    <w:p w14:paraId="64A91ED1" w14:textId="77777777" w:rsidR="007C3EA0" w:rsidRPr="004323C5" w:rsidRDefault="007C3EA0" w:rsidP="007C3EA0">
      <w:pPr>
        <w:rPr>
          <w:rFonts w:ascii="Arial" w:hAnsi="Arial" w:cs="Arial"/>
        </w:rPr>
      </w:pPr>
      <w:r w:rsidRPr="004323C5">
        <w:rPr>
          <w:rFonts w:ascii="Arial" w:hAnsi="Arial" w:cs="Arial"/>
          <w:b/>
          <w:bCs/>
        </w:rPr>
        <w:t>Recommendation 1: Declare CRVS a National Development Priority.</w:t>
      </w:r>
    </w:p>
    <w:p w14:paraId="47102013" w14:textId="2830B143" w:rsidR="007C3EA0" w:rsidRPr="00E12EA8" w:rsidRDefault="007C3EA0" w:rsidP="007C3EA0">
      <w:pPr>
        <w:rPr>
          <w:rFonts w:ascii="Arial" w:hAnsi="Arial" w:cs="Arial"/>
          <w:lang w:val="en-US"/>
        </w:rPr>
      </w:pPr>
      <w:r w:rsidRPr="004323C5">
        <w:rPr>
          <w:rFonts w:ascii="Arial" w:hAnsi="Arial" w:cs="Arial"/>
        </w:rPr>
        <w:t>Governments should declare Civil Registration and Vital Statistics (CRVS) a national development priority and demonstrate sustained political leadership to achieve universal registration of births, deaths, marriages, and divorces through a whole-of-government approach.</w:t>
      </w:r>
      <w:r w:rsidR="00097E9B">
        <w:rPr>
          <w:rFonts w:ascii="Arial" w:hAnsi="Arial" w:cs="Arial"/>
          <w:lang w:val="en-US"/>
        </w:rPr>
        <w:t>Improve the governance structure of CRVS system</w:t>
      </w:r>
      <w:r w:rsidR="00ED4FF8">
        <w:rPr>
          <w:rFonts w:ascii="Arial" w:hAnsi="Arial" w:cs="Arial"/>
          <w:lang w:val="en-US"/>
        </w:rPr>
        <w:t xml:space="preserve"> by establishing functional Steering and CRVS TWG</w:t>
      </w:r>
      <w:r w:rsidR="00097E9B">
        <w:rPr>
          <w:rFonts w:ascii="Arial" w:hAnsi="Arial" w:cs="Arial"/>
          <w:lang w:val="en-US"/>
        </w:rPr>
        <w:t>.</w:t>
      </w:r>
    </w:p>
    <w:p w14:paraId="5A5534E1" w14:textId="77777777" w:rsidR="007C3EA0" w:rsidRPr="004323C5" w:rsidRDefault="007C3EA0" w:rsidP="007C3EA0">
      <w:pPr>
        <w:rPr>
          <w:rFonts w:ascii="Arial" w:hAnsi="Arial" w:cs="Arial"/>
          <w:b/>
          <w:bCs/>
        </w:rPr>
      </w:pPr>
      <w:r w:rsidRPr="004323C5">
        <w:rPr>
          <w:rFonts w:ascii="Arial" w:hAnsi="Arial" w:cs="Arial"/>
          <w:b/>
          <w:bCs/>
        </w:rPr>
        <w:t>3.2 Decentralization of Services</w:t>
      </w:r>
    </w:p>
    <w:p w14:paraId="11DA8B29" w14:textId="77777777" w:rsidR="007C3EA0" w:rsidRPr="004323C5" w:rsidRDefault="007C3EA0" w:rsidP="007C3EA0">
      <w:pPr>
        <w:rPr>
          <w:rFonts w:ascii="Arial" w:hAnsi="Arial" w:cs="Arial"/>
        </w:rPr>
      </w:pPr>
      <w:r w:rsidRPr="004323C5">
        <w:rPr>
          <w:rFonts w:ascii="Arial" w:hAnsi="Arial" w:cs="Arial"/>
          <w:b/>
          <w:bCs/>
        </w:rPr>
        <w:t>Recommendation 2: Accelerate Decentralization of Civil Registration Services.</w:t>
      </w:r>
    </w:p>
    <w:p w14:paraId="08195B32" w14:textId="77777777" w:rsidR="007C3EA0" w:rsidRPr="004323C5" w:rsidRDefault="007C3EA0" w:rsidP="007C3EA0">
      <w:pPr>
        <w:rPr>
          <w:rFonts w:ascii="Arial" w:hAnsi="Arial" w:cs="Arial"/>
        </w:rPr>
      </w:pPr>
      <w:r w:rsidRPr="004323C5">
        <w:rPr>
          <w:rFonts w:ascii="Arial" w:hAnsi="Arial" w:cs="Arial"/>
        </w:rPr>
        <w:t>Countries should accelerate the decentralization of civil registration services by expanding registration points to district, community, and primary health-care levels in accordance with their national administrative structures.</w:t>
      </w:r>
    </w:p>
    <w:p w14:paraId="4FCC4296" w14:textId="77777777" w:rsidR="007C3EA0" w:rsidRPr="004323C5" w:rsidRDefault="007C3EA0" w:rsidP="007C3EA0">
      <w:pPr>
        <w:rPr>
          <w:rFonts w:ascii="Arial" w:hAnsi="Arial" w:cs="Arial"/>
        </w:rPr>
      </w:pPr>
      <w:r w:rsidRPr="004323C5">
        <w:rPr>
          <w:rFonts w:ascii="Arial" w:hAnsi="Arial" w:cs="Arial"/>
          <w:b/>
          <w:bCs/>
        </w:rPr>
        <w:t>Recommendation 3: Provide Dedicated Office Space in Health Facilities.</w:t>
      </w:r>
    </w:p>
    <w:p w14:paraId="6A2361E3" w14:textId="77777777" w:rsidR="007C3EA0" w:rsidRPr="004323C5" w:rsidRDefault="007C3EA0" w:rsidP="007C3EA0">
      <w:pPr>
        <w:rPr>
          <w:rFonts w:ascii="Arial" w:hAnsi="Arial" w:cs="Arial"/>
        </w:rPr>
      </w:pPr>
      <w:r w:rsidRPr="004323C5">
        <w:rPr>
          <w:rFonts w:ascii="Arial" w:hAnsi="Arial" w:cs="Arial"/>
        </w:rPr>
        <w:t>Ministries of Health should provide dedicated office space for Civil Registration services in hospitals and maternity facilities to ensure that births are registered before mothers and newborns are discharged.</w:t>
      </w:r>
    </w:p>
    <w:p w14:paraId="6A6F22CB" w14:textId="77777777" w:rsidR="007C3EA0" w:rsidRPr="004323C5" w:rsidRDefault="007C3EA0" w:rsidP="007C3EA0">
      <w:pPr>
        <w:rPr>
          <w:rFonts w:ascii="Arial" w:hAnsi="Arial" w:cs="Arial"/>
        </w:rPr>
      </w:pPr>
      <w:r w:rsidRPr="004323C5">
        <w:rPr>
          <w:rFonts w:ascii="Arial" w:hAnsi="Arial" w:cs="Arial"/>
          <w:b/>
          <w:bCs/>
        </w:rPr>
        <w:t>Recommendation 4: Develop Clear National Scale-Up Strategies.</w:t>
      </w:r>
    </w:p>
    <w:p w14:paraId="4496C413" w14:textId="77777777" w:rsidR="007C3EA0" w:rsidRPr="004323C5" w:rsidRDefault="007C3EA0" w:rsidP="007C3EA0">
      <w:pPr>
        <w:rPr>
          <w:rFonts w:ascii="Arial" w:hAnsi="Arial" w:cs="Arial"/>
        </w:rPr>
      </w:pPr>
      <w:r w:rsidRPr="004323C5">
        <w:rPr>
          <w:rFonts w:ascii="Arial" w:hAnsi="Arial" w:cs="Arial"/>
        </w:rPr>
        <w:t>Countries should develop clear national scale-up strategies for decentralized CRVS services by evaluating pilot initiatives, documenting lessons learned, strengthening governance and financing arrangements, standardizing operating procedures, and ensuring the necessary institutional capacity before expanding successful models nationwide.</w:t>
      </w:r>
    </w:p>
    <w:p w14:paraId="66ECF02E" w14:textId="1DB28351" w:rsidR="007C3EA0" w:rsidRPr="004323C5" w:rsidRDefault="007C3EA0" w:rsidP="007C3EA0">
      <w:pPr>
        <w:rPr>
          <w:rFonts w:ascii="Arial" w:hAnsi="Arial" w:cs="Arial"/>
        </w:rPr>
      </w:pPr>
    </w:p>
    <w:p w14:paraId="2AC70867" w14:textId="77777777" w:rsidR="007C3EA0" w:rsidRPr="004323C5" w:rsidRDefault="007C3EA0" w:rsidP="007C3EA0">
      <w:pPr>
        <w:rPr>
          <w:rFonts w:ascii="Arial" w:hAnsi="Arial" w:cs="Arial"/>
          <w:b/>
          <w:bCs/>
        </w:rPr>
      </w:pPr>
      <w:r w:rsidRPr="004323C5">
        <w:rPr>
          <w:rFonts w:ascii="Arial" w:hAnsi="Arial" w:cs="Arial"/>
          <w:b/>
          <w:bCs/>
        </w:rPr>
        <w:t>3.3 Interoperability and Digitalization</w:t>
      </w:r>
    </w:p>
    <w:p w14:paraId="309A1C47" w14:textId="77777777" w:rsidR="007C3EA0" w:rsidRPr="004323C5" w:rsidRDefault="007C3EA0" w:rsidP="007C3EA0">
      <w:pPr>
        <w:rPr>
          <w:rFonts w:ascii="Arial" w:hAnsi="Arial" w:cs="Arial"/>
        </w:rPr>
      </w:pPr>
      <w:r w:rsidRPr="004323C5">
        <w:rPr>
          <w:rFonts w:ascii="Arial" w:hAnsi="Arial" w:cs="Arial"/>
          <w:b/>
          <w:bCs/>
        </w:rPr>
        <w:t>Recommendation 5: Prioritize Interoperable Digital CRVS Systems.</w:t>
      </w:r>
    </w:p>
    <w:p w14:paraId="233BA6DD" w14:textId="77777777" w:rsidR="007C3EA0" w:rsidRPr="004323C5" w:rsidRDefault="007C3EA0" w:rsidP="007C3EA0">
      <w:pPr>
        <w:rPr>
          <w:rFonts w:ascii="Arial" w:hAnsi="Arial" w:cs="Arial"/>
        </w:rPr>
      </w:pPr>
      <w:r w:rsidRPr="004323C5">
        <w:rPr>
          <w:rFonts w:ascii="Arial" w:hAnsi="Arial" w:cs="Arial"/>
        </w:rPr>
        <w:t>Member States should prioritize interoperable digital CRVS systems that facilitate secure information exchange between civil registration, health, education, national identity, population registers, and national statistics systems.</w:t>
      </w:r>
    </w:p>
    <w:p w14:paraId="427D224F" w14:textId="64648CEC" w:rsidR="007C3EA0" w:rsidRPr="004323C5" w:rsidRDefault="007C3EA0" w:rsidP="007C3EA0">
      <w:pPr>
        <w:rPr>
          <w:rFonts w:ascii="Arial" w:hAnsi="Arial" w:cs="Arial"/>
        </w:rPr>
      </w:pPr>
    </w:p>
    <w:p w14:paraId="559A091D" w14:textId="77777777" w:rsidR="007C3EA0" w:rsidRPr="004323C5" w:rsidRDefault="007C3EA0" w:rsidP="007C3EA0">
      <w:pPr>
        <w:rPr>
          <w:rFonts w:ascii="Arial" w:hAnsi="Arial" w:cs="Arial"/>
          <w:b/>
          <w:bCs/>
        </w:rPr>
      </w:pPr>
      <w:r w:rsidRPr="004323C5">
        <w:rPr>
          <w:rFonts w:ascii="Arial" w:hAnsi="Arial" w:cs="Arial"/>
          <w:b/>
          <w:bCs/>
        </w:rPr>
        <w:t>3.4 Education Sector Collaboration</w:t>
      </w:r>
    </w:p>
    <w:p w14:paraId="115C8444" w14:textId="77777777" w:rsidR="007C3EA0" w:rsidRPr="004323C5" w:rsidRDefault="007C3EA0" w:rsidP="007C3EA0">
      <w:pPr>
        <w:rPr>
          <w:rFonts w:ascii="Arial" w:hAnsi="Arial" w:cs="Arial"/>
        </w:rPr>
      </w:pPr>
      <w:r w:rsidRPr="004323C5">
        <w:rPr>
          <w:rFonts w:ascii="Arial" w:hAnsi="Arial" w:cs="Arial"/>
          <w:b/>
          <w:bCs/>
        </w:rPr>
        <w:t>Recommendation 6: Formalize Collaboration with Education Sector.</w:t>
      </w:r>
    </w:p>
    <w:p w14:paraId="254AD94E" w14:textId="77777777" w:rsidR="007C3EA0" w:rsidRPr="004323C5" w:rsidRDefault="007C3EA0" w:rsidP="007C3EA0">
      <w:pPr>
        <w:rPr>
          <w:rFonts w:ascii="Arial" w:hAnsi="Arial" w:cs="Arial"/>
        </w:rPr>
      </w:pPr>
      <w:r w:rsidRPr="004323C5">
        <w:rPr>
          <w:rFonts w:ascii="Arial" w:hAnsi="Arial" w:cs="Arial"/>
        </w:rPr>
        <w:t>Member States should formalize collaboration between civil registration authorities and Ministries of Education to identify children attending school without birth certificates and facilitate their registration, while ensuring that lack of a birth certificate does not prevent access to education.</w:t>
      </w:r>
    </w:p>
    <w:p w14:paraId="05A4735B" w14:textId="77777777" w:rsidR="007C3EA0" w:rsidRPr="004323C5" w:rsidRDefault="007C3EA0" w:rsidP="007C3EA0">
      <w:pPr>
        <w:rPr>
          <w:rFonts w:ascii="Arial" w:hAnsi="Arial" w:cs="Arial"/>
          <w:b/>
          <w:bCs/>
        </w:rPr>
      </w:pPr>
      <w:r w:rsidRPr="004323C5">
        <w:rPr>
          <w:rFonts w:ascii="Arial" w:hAnsi="Arial" w:cs="Arial"/>
          <w:b/>
          <w:bCs/>
        </w:rPr>
        <w:t>3.5 Free Birth Certificates</w:t>
      </w:r>
    </w:p>
    <w:p w14:paraId="10EA178B" w14:textId="77777777" w:rsidR="007C3EA0" w:rsidRPr="004323C5" w:rsidRDefault="007C3EA0" w:rsidP="007C3EA0">
      <w:pPr>
        <w:rPr>
          <w:rFonts w:ascii="Arial" w:hAnsi="Arial" w:cs="Arial"/>
        </w:rPr>
      </w:pPr>
      <w:r w:rsidRPr="004323C5">
        <w:rPr>
          <w:rFonts w:ascii="Arial" w:hAnsi="Arial" w:cs="Arial"/>
          <w:b/>
          <w:bCs/>
        </w:rPr>
        <w:t>Recommendation 7: Provide First-Time Birth Certificates Free of Charge.</w:t>
      </w:r>
    </w:p>
    <w:p w14:paraId="7F95ECC9" w14:textId="77777777" w:rsidR="007C3EA0" w:rsidRPr="004323C5" w:rsidRDefault="007C3EA0" w:rsidP="007C3EA0">
      <w:pPr>
        <w:rPr>
          <w:rFonts w:ascii="Arial" w:hAnsi="Arial" w:cs="Arial"/>
        </w:rPr>
      </w:pPr>
      <w:r w:rsidRPr="004323C5">
        <w:rPr>
          <w:rFonts w:ascii="Arial" w:hAnsi="Arial" w:cs="Arial"/>
        </w:rPr>
        <w:t>Member States should reinforce the commitment made by African Ministers in 2010 by ensuring that first-time birth certificates are provided free of charge within the legally prescribed registration period.</w:t>
      </w:r>
    </w:p>
    <w:p w14:paraId="4DE4C721" w14:textId="77777777" w:rsidR="007C3EA0" w:rsidRPr="004323C5" w:rsidRDefault="007C3EA0" w:rsidP="007C3EA0">
      <w:pPr>
        <w:rPr>
          <w:rFonts w:ascii="Arial" w:hAnsi="Arial" w:cs="Arial"/>
          <w:b/>
          <w:bCs/>
        </w:rPr>
      </w:pPr>
      <w:r w:rsidRPr="004323C5">
        <w:rPr>
          <w:rFonts w:ascii="Arial" w:hAnsi="Arial" w:cs="Arial"/>
          <w:b/>
          <w:bCs/>
        </w:rPr>
        <w:t>3.6 Legal and Regulatory Frameworks</w:t>
      </w:r>
    </w:p>
    <w:p w14:paraId="5CB81CE5" w14:textId="77777777" w:rsidR="007C3EA0" w:rsidRPr="004323C5" w:rsidRDefault="007C3EA0" w:rsidP="007C3EA0">
      <w:pPr>
        <w:rPr>
          <w:rFonts w:ascii="Arial" w:hAnsi="Arial" w:cs="Arial"/>
        </w:rPr>
      </w:pPr>
      <w:r w:rsidRPr="004323C5">
        <w:rPr>
          <w:rFonts w:ascii="Arial" w:hAnsi="Arial" w:cs="Arial"/>
          <w:b/>
          <w:bCs/>
        </w:rPr>
        <w:t>Recommendation 8: Strengthen Legal and Regulatory Frameworks.</w:t>
      </w:r>
    </w:p>
    <w:p w14:paraId="1E396A37" w14:textId="77777777" w:rsidR="007C3EA0" w:rsidRPr="004323C5" w:rsidRDefault="007C3EA0" w:rsidP="007C3EA0">
      <w:pPr>
        <w:rPr>
          <w:rFonts w:ascii="Arial" w:hAnsi="Arial" w:cs="Arial"/>
        </w:rPr>
      </w:pPr>
      <w:r w:rsidRPr="004323C5">
        <w:rPr>
          <w:rFonts w:ascii="Arial" w:hAnsi="Arial" w:cs="Arial"/>
        </w:rPr>
        <w:t>Member States should review and strengthen legal and regulatory frameworks governing CRVS to support decentralization, interoperability, data protection, timely registration, and simplified procedures for delayed registration.</w:t>
      </w:r>
    </w:p>
    <w:p w14:paraId="1BAC7E79" w14:textId="77777777" w:rsidR="007C3EA0" w:rsidRPr="004323C5" w:rsidRDefault="007C3EA0" w:rsidP="007C3EA0">
      <w:pPr>
        <w:rPr>
          <w:rFonts w:ascii="Arial" w:hAnsi="Arial" w:cs="Arial"/>
        </w:rPr>
      </w:pPr>
      <w:r w:rsidRPr="004323C5">
        <w:rPr>
          <w:rFonts w:ascii="Arial" w:hAnsi="Arial" w:cs="Arial"/>
          <w:b/>
          <w:bCs/>
        </w:rPr>
        <w:t>Recommendation 9: Clearly Define Institutional Mandates.</w:t>
      </w:r>
    </w:p>
    <w:p w14:paraId="437CAE2A" w14:textId="77777777" w:rsidR="007C3EA0" w:rsidRPr="004323C5" w:rsidRDefault="007C3EA0" w:rsidP="007C3EA0">
      <w:pPr>
        <w:rPr>
          <w:rFonts w:ascii="Arial" w:hAnsi="Arial" w:cs="Arial"/>
        </w:rPr>
      </w:pPr>
      <w:r w:rsidRPr="004323C5">
        <w:rPr>
          <w:rFonts w:ascii="Arial" w:hAnsi="Arial" w:cs="Arial"/>
        </w:rPr>
        <w:t>Member States should review and strengthen legal and policy frameworks to support decentralized civil registration services by clearly defining the mandates and responsibilities of national, provincial, district, and community level institutions involved in the registration of vital events.</w:t>
      </w:r>
    </w:p>
    <w:p w14:paraId="24FFF2B2" w14:textId="77777777" w:rsidR="007C3EA0" w:rsidRPr="004323C5" w:rsidRDefault="007C3EA0" w:rsidP="007C3EA0">
      <w:pPr>
        <w:rPr>
          <w:rFonts w:ascii="Arial" w:hAnsi="Arial" w:cs="Arial"/>
          <w:b/>
          <w:bCs/>
        </w:rPr>
      </w:pPr>
      <w:r w:rsidRPr="004323C5">
        <w:rPr>
          <w:rFonts w:ascii="Arial" w:hAnsi="Arial" w:cs="Arial"/>
          <w:b/>
          <w:bCs/>
        </w:rPr>
        <w:t>3.7 Financing and Sustainability</w:t>
      </w:r>
    </w:p>
    <w:p w14:paraId="0A0E4F77" w14:textId="77777777" w:rsidR="007C3EA0" w:rsidRPr="004323C5" w:rsidRDefault="007C3EA0" w:rsidP="007C3EA0">
      <w:pPr>
        <w:rPr>
          <w:rFonts w:ascii="Arial" w:hAnsi="Arial" w:cs="Arial"/>
        </w:rPr>
      </w:pPr>
      <w:r w:rsidRPr="004323C5">
        <w:rPr>
          <w:rFonts w:ascii="Arial" w:hAnsi="Arial" w:cs="Arial"/>
          <w:b/>
          <w:bCs/>
        </w:rPr>
        <w:t>Recommendation 10: Increase Domestic Financing for CRVS.</w:t>
      </w:r>
    </w:p>
    <w:p w14:paraId="620B2F91" w14:textId="77777777" w:rsidR="007C3EA0" w:rsidRPr="004323C5" w:rsidRDefault="007C3EA0" w:rsidP="007C3EA0">
      <w:pPr>
        <w:rPr>
          <w:rFonts w:ascii="Arial" w:hAnsi="Arial" w:cs="Arial"/>
        </w:rPr>
      </w:pPr>
      <w:r w:rsidRPr="004323C5">
        <w:rPr>
          <w:rFonts w:ascii="Arial" w:hAnsi="Arial" w:cs="Arial"/>
        </w:rPr>
        <w:t>Member States should increase domestic financing for CRVS by establishing dedicated budget allocations for registration services, digital infrastructure, community outreach, capacity building, and system maintenance, while ensuring that development partner support complements national priorities.</w:t>
      </w:r>
    </w:p>
    <w:p w14:paraId="68370CB3" w14:textId="77777777" w:rsidR="007C3EA0" w:rsidRPr="004323C5" w:rsidRDefault="007C3EA0" w:rsidP="007C3EA0">
      <w:pPr>
        <w:rPr>
          <w:rFonts w:ascii="Arial" w:hAnsi="Arial" w:cs="Arial"/>
          <w:b/>
          <w:bCs/>
        </w:rPr>
      </w:pPr>
      <w:r w:rsidRPr="004323C5">
        <w:rPr>
          <w:rFonts w:ascii="Arial" w:hAnsi="Arial" w:cs="Arial"/>
          <w:b/>
          <w:bCs/>
        </w:rPr>
        <w:t>3.8 Parliamentary Engagement</w:t>
      </w:r>
    </w:p>
    <w:p w14:paraId="22EF0D4A" w14:textId="77777777" w:rsidR="007C3EA0" w:rsidRPr="004323C5" w:rsidRDefault="007C3EA0" w:rsidP="007C3EA0">
      <w:pPr>
        <w:rPr>
          <w:rFonts w:ascii="Arial" w:hAnsi="Arial" w:cs="Arial"/>
        </w:rPr>
      </w:pPr>
      <w:r w:rsidRPr="004323C5">
        <w:rPr>
          <w:rFonts w:ascii="Arial" w:hAnsi="Arial" w:cs="Arial"/>
          <w:b/>
          <w:bCs/>
        </w:rPr>
        <w:t>Recommendation 11: Engage Members of Parliament as CRVS Champions.</w:t>
      </w:r>
    </w:p>
    <w:p w14:paraId="47DD96B1" w14:textId="77777777" w:rsidR="007C3EA0" w:rsidRPr="004323C5" w:rsidRDefault="007C3EA0" w:rsidP="007C3EA0">
      <w:pPr>
        <w:rPr>
          <w:rFonts w:ascii="Arial" w:hAnsi="Arial" w:cs="Arial"/>
        </w:rPr>
      </w:pPr>
      <w:r w:rsidRPr="004323C5">
        <w:rPr>
          <w:rFonts w:ascii="Arial" w:hAnsi="Arial" w:cs="Arial"/>
        </w:rPr>
        <w:t xml:space="preserve">Member States should actively engage Members of Parliament as CRVS champions to strengthen political advocacy, support legislative reforms, and increase domestic budget </w:t>
      </w:r>
      <w:r w:rsidRPr="004323C5">
        <w:rPr>
          <w:rFonts w:ascii="Arial" w:hAnsi="Arial" w:cs="Arial"/>
        </w:rPr>
        <w:lastRenderedPageBreak/>
        <w:t>allocations. Future African CRVS conferences should encourage each country to include parliamentary representatives.</w:t>
      </w:r>
    </w:p>
    <w:sectPr w:rsidR="007C3EA0" w:rsidRPr="00432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563B"/>
    <w:multiLevelType w:val="multilevel"/>
    <w:tmpl w:val="9934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A0"/>
    <w:rsid w:val="00087792"/>
    <w:rsid w:val="00097E9B"/>
    <w:rsid w:val="00247038"/>
    <w:rsid w:val="004323C5"/>
    <w:rsid w:val="00572A51"/>
    <w:rsid w:val="00682192"/>
    <w:rsid w:val="007C3EA0"/>
    <w:rsid w:val="0094678C"/>
    <w:rsid w:val="00E12EA8"/>
    <w:rsid w:val="00E20AD0"/>
    <w:rsid w:val="00ED4FF8"/>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2B96"/>
  <w15:chartTrackingRefBased/>
  <w15:docId w15:val="{316480D3-4C31-4476-B387-9B71A726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3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3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3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3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3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3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3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3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3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E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3E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EA0"/>
    <w:rPr>
      <w:rFonts w:eastAsiaTheme="majorEastAsia" w:cstheme="majorBidi"/>
      <w:color w:val="272727" w:themeColor="text1" w:themeTint="D8"/>
    </w:rPr>
  </w:style>
  <w:style w:type="paragraph" w:styleId="Title">
    <w:name w:val="Title"/>
    <w:basedOn w:val="Normal"/>
    <w:next w:val="Normal"/>
    <w:link w:val="TitleChar"/>
    <w:uiPriority w:val="10"/>
    <w:qFormat/>
    <w:rsid w:val="007C3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E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3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EA0"/>
    <w:pPr>
      <w:spacing w:before="160"/>
      <w:jc w:val="center"/>
    </w:pPr>
    <w:rPr>
      <w:i/>
      <w:iCs/>
      <w:color w:val="404040" w:themeColor="text1" w:themeTint="BF"/>
    </w:rPr>
  </w:style>
  <w:style w:type="character" w:customStyle="1" w:styleId="QuoteChar">
    <w:name w:val="Quote Char"/>
    <w:basedOn w:val="DefaultParagraphFont"/>
    <w:link w:val="Quote"/>
    <w:uiPriority w:val="29"/>
    <w:rsid w:val="007C3EA0"/>
    <w:rPr>
      <w:i/>
      <w:iCs/>
      <w:color w:val="404040" w:themeColor="text1" w:themeTint="BF"/>
    </w:rPr>
  </w:style>
  <w:style w:type="paragraph" w:styleId="ListParagraph">
    <w:name w:val="List Paragraph"/>
    <w:basedOn w:val="Normal"/>
    <w:uiPriority w:val="34"/>
    <w:qFormat/>
    <w:rsid w:val="007C3EA0"/>
    <w:pPr>
      <w:ind w:left="720"/>
      <w:contextualSpacing/>
    </w:pPr>
  </w:style>
  <w:style w:type="character" w:styleId="IntenseEmphasis">
    <w:name w:val="Intense Emphasis"/>
    <w:basedOn w:val="DefaultParagraphFont"/>
    <w:uiPriority w:val="21"/>
    <w:qFormat/>
    <w:rsid w:val="007C3EA0"/>
    <w:rPr>
      <w:i/>
      <w:iCs/>
      <w:color w:val="0F4761" w:themeColor="accent1" w:themeShade="BF"/>
    </w:rPr>
  </w:style>
  <w:style w:type="paragraph" w:styleId="IntenseQuote">
    <w:name w:val="Intense Quote"/>
    <w:basedOn w:val="Normal"/>
    <w:next w:val="Normal"/>
    <w:link w:val="IntenseQuoteChar"/>
    <w:uiPriority w:val="30"/>
    <w:qFormat/>
    <w:rsid w:val="007C3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3EA0"/>
    <w:rPr>
      <w:i/>
      <w:iCs/>
      <w:color w:val="0F4761" w:themeColor="accent1" w:themeShade="BF"/>
    </w:rPr>
  </w:style>
  <w:style w:type="character" w:styleId="IntenseReference">
    <w:name w:val="Intense Reference"/>
    <w:basedOn w:val="DefaultParagraphFont"/>
    <w:uiPriority w:val="32"/>
    <w:qFormat/>
    <w:rsid w:val="007C3EA0"/>
    <w:rPr>
      <w:b/>
      <w:bCs/>
      <w:smallCaps/>
      <w:color w:val="0F4761" w:themeColor="accent1" w:themeShade="BF"/>
      <w:spacing w:val="5"/>
    </w:rPr>
  </w:style>
  <w:style w:type="paragraph" w:styleId="Revision">
    <w:name w:val="Revision"/>
    <w:hidden/>
    <w:uiPriority w:val="99"/>
    <w:semiHidden/>
    <w:rsid w:val="000877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1104</Words>
  <Characters>6647</Characters>
  <Application>Microsoft Office Word</Application>
  <DocSecurity>0</DocSecurity>
  <Lines>443</Lines>
  <Paragraphs>298</Paragraphs>
  <ScaleCrop>false</ScaleCrop>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Hosea Mitala</dc:creator>
  <cp:keywords/>
  <dc:description/>
  <cp:lastModifiedBy>Hosea Mitala</cp:lastModifiedBy>
  <cp:revision>6</cp:revision>
  <dcterms:created xsi:type="dcterms:W3CDTF">2026-07-20T06:41:00Z</dcterms:created>
  <dcterms:modified xsi:type="dcterms:W3CDTF">2026-07-20T06:55:00Z</dcterms:modified>
</cp:coreProperties>
</file>